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67A7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B1B26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B152D6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03.080.20</w:t>
            </w:r>
            <w:r>
              <w:rPr>
                <w:rFonts w:ascii="黑体" w:hAnsi="黑体" w:eastAsia="黑体"/>
                <w:sz w:val="21"/>
                <w:szCs w:val="21"/>
              </w:rPr>
              <w:fldChar w:fldCharType="end"/>
            </w:r>
            <w:bookmarkEnd w:id="0"/>
          </w:p>
        </w:tc>
      </w:tr>
      <w:tr w14:paraId="70AA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819C3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151F82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EAE1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E7AF3E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16D6A82E">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3FEAC2D">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4</w:t>
      </w:r>
      <w:r>
        <w:rPr>
          <w:rFonts w:hint="eastAsia"/>
          <w:lang w:val="en-US" w:eastAsia="zh-CN"/>
        </w:rPr>
        <w:t>769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024</w:t>
      </w:r>
      <w:r>
        <w:fldChar w:fldCharType="end"/>
      </w:r>
      <w:bookmarkEnd w:id="7"/>
    </w:p>
    <w:p w14:paraId="1C200E6B">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4D5F11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E8DFCFA">
      <w:pPr>
        <w:pStyle w:val="50"/>
        <w:framePr w:w="9639" w:h="6976" w:hRule="exact" w:hSpace="0" w:vSpace="0" w:wrap="around" w:hAnchor="page" w:y="6408"/>
        <w:jc w:val="center"/>
        <w:rPr>
          <w:rFonts w:ascii="黑体" w:hAnsi="黑体" w:eastAsia="黑体"/>
          <w:b w:val="0"/>
          <w:bCs w:val="0"/>
          <w:w w:val="100"/>
        </w:rPr>
      </w:pPr>
    </w:p>
    <w:p w14:paraId="582F00E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单元化物流载具运营网点服务规范</w:t>
      </w:r>
      <w:r>
        <w:fldChar w:fldCharType="end"/>
      </w:r>
      <w:bookmarkEnd w:id="9"/>
    </w:p>
    <w:p w14:paraId="1E43528D">
      <w:pPr>
        <w:framePr w:w="9639" w:h="6974" w:hRule="exact" w:wrap="around" w:vAnchor="page" w:hAnchor="page" w:x="1419" w:y="6408" w:anchorLock="1"/>
        <w:ind w:left="-1418"/>
      </w:pPr>
    </w:p>
    <w:p w14:paraId="17C2A58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Service specification for the unitized logistics implement operation network</w:t>
      </w:r>
      <w:r>
        <w:rPr>
          <w:rFonts w:eastAsia="黑体"/>
          <w:szCs w:val="28"/>
        </w:rPr>
        <w:fldChar w:fldCharType="end"/>
      </w:r>
      <w:bookmarkEnd w:id="10"/>
    </w:p>
    <w:p w14:paraId="21549EEF">
      <w:pPr>
        <w:framePr w:w="9639" w:h="6974" w:hRule="exact" w:wrap="around" w:vAnchor="page" w:hAnchor="page" w:x="1419" w:y="6408" w:anchorLock="1"/>
        <w:spacing w:line="760" w:lineRule="exact"/>
        <w:ind w:left="-1418"/>
      </w:pPr>
    </w:p>
    <w:p w14:paraId="4661F278">
      <w:pPr>
        <w:pStyle w:val="125"/>
        <w:framePr w:w="9639" w:h="6974" w:hRule="exact" w:wrap="around" w:vAnchor="page" w:hAnchor="page" w:x="1419" w:y="6408" w:anchorLock="1"/>
        <w:textAlignment w:val="bottom"/>
        <w:rPr>
          <w:rFonts w:eastAsia="黑体"/>
          <w:szCs w:val="28"/>
        </w:rPr>
      </w:pPr>
    </w:p>
    <w:p w14:paraId="369FAF8D">
      <w:pPr>
        <w:pStyle w:val="125"/>
        <w:framePr w:w="9639" w:h="6974" w:hRule="exact" w:wrap="around" w:vAnchor="page" w:hAnchor="page" w:x="1419" w:y="6408" w:anchorLock="1"/>
        <w:spacing w:before="440" w:after="160"/>
        <w:textAlignment w:val="bottom"/>
        <w:rPr>
          <w:sz w:val="24"/>
          <w:szCs w:val="28"/>
        </w:rPr>
      </w:pPr>
    </w:p>
    <w:p w14:paraId="271E726A">
      <w:pPr>
        <w:pStyle w:val="125"/>
        <w:framePr w:w="9639" w:h="6974" w:hRule="exact" w:wrap="around" w:vAnchor="page" w:hAnchor="page" w:x="1419" w:y="6408" w:anchorLock="1"/>
        <w:spacing w:before="180" w:line="240" w:lineRule="atLeast"/>
        <w:textAlignment w:val="bottom"/>
        <w:rPr>
          <w:sz w:val="21"/>
          <w:szCs w:val="28"/>
        </w:rPr>
      </w:pPr>
    </w:p>
    <w:p w14:paraId="56181D3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762545C7">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lang w:eastAsia="zh-CN"/>
        </w:rPr>
        <w:t>0</w:t>
      </w:r>
      <w:r>
        <w:rPr>
          <w:rFonts w:hint="eastAsia" w:ascii="黑体"/>
          <w:lang w:val="en-US" w:eastAsia="zh-CN"/>
        </w:rPr>
        <w:t>9</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eastAsia" w:ascii="黑体"/>
          <w:lang w:eastAsia="zh-CN"/>
        </w:rPr>
        <w:t>3</w:t>
      </w:r>
      <w:r>
        <w:rPr>
          <w:rFonts w:hint="eastAsia" w:ascii="黑体"/>
          <w:lang w:val="en-US" w:eastAsia="zh-CN"/>
        </w:rPr>
        <w:t>0</w:t>
      </w:r>
      <w:r>
        <w:rPr>
          <w:rFonts w:ascii="黑体"/>
        </w:rPr>
        <w:fldChar w:fldCharType="end"/>
      </w:r>
      <w:bookmarkEnd w:id="13"/>
      <w:r>
        <w:rPr>
          <w:rFonts w:hint="eastAsia"/>
        </w:rPr>
        <w:t>发布</w:t>
      </w:r>
    </w:p>
    <w:p w14:paraId="0EF2E718">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0</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eastAsia" w:ascii="黑体"/>
          <w:lang w:eastAsia="zh-CN"/>
        </w:rPr>
        <w:t>3</w:t>
      </w:r>
      <w:r>
        <w:rPr>
          <w:rFonts w:hint="eastAsia" w:ascii="黑体"/>
          <w:lang w:val="en-US" w:eastAsia="zh-CN"/>
        </w:rPr>
        <w:t>0</w:t>
      </w:r>
      <w:bookmarkStart w:id="92" w:name="_GoBack"/>
      <w:bookmarkEnd w:id="92"/>
      <w:r>
        <w:rPr>
          <w:rFonts w:ascii="黑体"/>
        </w:rPr>
        <w:fldChar w:fldCharType="end"/>
      </w:r>
      <w:bookmarkEnd w:id="16"/>
      <w:r>
        <w:rPr>
          <w:rFonts w:hint="eastAsia"/>
        </w:rPr>
        <w:t>实施</w:t>
      </w:r>
    </w:p>
    <w:p w14:paraId="17984AA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w:t>
      </w:r>
      <w:r>
        <w:rPr>
          <w:rFonts w:hAnsi="黑体"/>
          <w:w w:val="100"/>
          <w:sz w:val="28"/>
        </w:rPr>
        <w:t>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BAC4F4E">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621E54C">
      <w:pPr>
        <w:pStyle w:val="91"/>
        <w:spacing w:after="468"/>
      </w:pPr>
      <w:bookmarkStart w:id="18" w:name="BookMark1"/>
      <w:bookmarkStart w:id="19" w:name="_Toc177198425"/>
      <w:r>
        <w:rPr>
          <w:rFonts w:hint="eastAsia"/>
          <w:spacing w:val="320"/>
        </w:rPr>
        <w:t>目</w:t>
      </w:r>
      <w:r>
        <w:rPr>
          <w:rFonts w:hint="eastAsia"/>
        </w:rPr>
        <w:t>次</w:t>
      </w:r>
    </w:p>
    <w:p w14:paraId="67EF9BC8">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"_Toc177885889" </w:instrText>
      </w:r>
      <w:r>
        <w:fldChar w:fldCharType="separate"/>
      </w:r>
      <w:r>
        <w:rPr>
          <w:rStyle w:val="32"/>
          <w:rFonts w:hint="eastAsia"/>
        </w:rPr>
        <w:t>前言</w:t>
      </w:r>
      <w:r>
        <w:tab/>
      </w:r>
      <w:r>
        <w:fldChar w:fldCharType="begin"/>
      </w:r>
      <w:r>
        <w:instrText xml:space="preserve"> PAGEREF _Toc177885889 \h </w:instrText>
      </w:r>
      <w:r>
        <w:fldChar w:fldCharType="separate"/>
      </w:r>
      <w:r>
        <w:t>II</w:t>
      </w:r>
      <w:r>
        <w:fldChar w:fldCharType="end"/>
      </w:r>
      <w:r>
        <w:fldChar w:fldCharType="end"/>
      </w:r>
    </w:p>
    <w:p w14:paraId="6E384861">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"_Toc177885890" </w:instrText>
      </w:r>
      <w:r>
        <w:fldChar w:fldCharType="separate"/>
      </w:r>
      <w:r>
        <w:rPr>
          <w:rStyle w:val="32"/>
        </w:rPr>
        <w:t xml:space="preserve">1 </w:t>
      </w:r>
      <w:r>
        <w:rPr>
          <w:rStyle w:val="32"/>
          <w:rFonts w:hint="eastAsia"/>
        </w:rPr>
        <w:t xml:space="preserve"> 范围</w:t>
      </w:r>
      <w:r>
        <w:tab/>
      </w:r>
      <w:r>
        <w:fldChar w:fldCharType="begin"/>
      </w:r>
      <w:r>
        <w:instrText xml:space="preserve"> PAGEREF _Toc177885890 \h </w:instrText>
      </w:r>
      <w:r>
        <w:fldChar w:fldCharType="separate"/>
      </w:r>
      <w:r>
        <w:t>1</w:t>
      </w:r>
      <w:r>
        <w:fldChar w:fldCharType="end"/>
      </w:r>
      <w:r>
        <w:fldChar w:fldCharType="end"/>
      </w:r>
    </w:p>
    <w:p w14:paraId="003DB3B1">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"_Toc177885891"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_Toc177885891 \h </w:instrText>
      </w:r>
      <w:r>
        <w:fldChar w:fldCharType="separate"/>
      </w:r>
      <w:r>
        <w:t>1</w:t>
      </w:r>
      <w:r>
        <w:fldChar w:fldCharType="end"/>
      </w:r>
      <w:r>
        <w:fldChar w:fldCharType="end"/>
      </w:r>
    </w:p>
    <w:p w14:paraId="5A2349EB">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"_Toc177885892"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_Toc177885892 \h </w:instrText>
      </w:r>
      <w:r>
        <w:fldChar w:fldCharType="separate"/>
      </w:r>
      <w:r>
        <w:t>1</w:t>
      </w:r>
      <w:r>
        <w:fldChar w:fldCharType="end"/>
      </w:r>
      <w:r>
        <w:fldChar w:fldCharType="end"/>
      </w:r>
    </w:p>
    <w:p w14:paraId="16D79431">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"_Toc177885893" </w:instrText>
      </w:r>
      <w:r>
        <w:fldChar w:fldCharType="separate"/>
      </w:r>
      <w:r>
        <w:rPr>
          <w:rStyle w:val="32"/>
        </w:rPr>
        <w:t xml:space="preserve">4 </w:t>
      </w:r>
      <w:r>
        <w:rPr>
          <w:rStyle w:val="32"/>
          <w:rFonts w:hint="eastAsia"/>
        </w:rPr>
        <w:t xml:space="preserve"> 服务条件</w:t>
      </w:r>
      <w:r>
        <w:tab/>
      </w:r>
      <w:r>
        <w:fldChar w:fldCharType="begin"/>
      </w:r>
      <w:r>
        <w:instrText xml:space="preserve"> PAGEREF _Toc177885893 \h </w:instrText>
      </w:r>
      <w:r>
        <w:fldChar w:fldCharType="separate"/>
      </w:r>
      <w:r>
        <w:t>1</w:t>
      </w:r>
      <w:r>
        <w:fldChar w:fldCharType="end"/>
      </w:r>
      <w:r>
        <w:fldChar w:fldCharType="end"/>
      </w:r>
    </w:p>
    <w:p w14:paraId="675CD92A">
      <w:pPr>
        <w:pStyle w:val="24"/>
        <w:rPr>
          <w:rFonts w:asciiTheme="minorHAnsi" w:hAnsiTheme="minorHAnsi" w:eastAsiaTheme="minorEastAsia" w:cstheme="minorBidi"/>
          <w:szCs w:val="22"/>
        </w:rPr>
      </w:pPr>
      <w:r>
        <w:fldChar w:fldCharType="begin"/>
      </w:r>
      <w:r>
        <w:instrText xml:space="preserve"> HYPERLINK \l "_Toc177885894" </w:instrText>
      </w:r>
      <w:r>
        <w:fldChar w:fldCharType="separate"/>
      </w:r>
      <w:r>
        <w:rPr>
          <w:rStyle w:val="32"/>
          <w14:scene3d w14:prst="orthographicFront">
            <w14:lightRig w14:rig="threePt" w14:dir="t">
              <w14:rot w14:lat="0" w14:lon="0" w14:rev="0"/>
            </w14:lightRig>
          </w14:scene3d>
        </w:rPr>
        <w:t xml:space="preserve">4.1 </w:t>
      </w:r>
      <w:r>
        <w:rPr>
          <w:rStyle w:val="32"/>
          <w:rFonts w:hint="eastAsia"/>
        </w:rPr>
        <w:t xml:space="preserve"> 服务环境</w:t>
      </w:r>
      <w:r>
        <w:tab/>
      </w:r>
      <w:r>
        <w:fldChar w:fldCharType="begin"/>
      </w:r>
      <w:r>
        <w:instrText xml:space="preserve"> PAGEREF _Toc177885894 \h </w:instrText>
      </w:r>
      <w:r>
        <w:fldChar w:fldCharType="separate"/>
      </w:r>
      <w:r>
        <w:t>1</w:t>
      </w:r>
      <w:r>
        <w:fldChar w:fldCharType="end"/>
      </w:r>
      <w:r>
        <w:fldChar w:fldCharType="end"/>
      </w:r>
    </w:p>
    <w:p w14:paraId="70041764">
      <w:pPr>
        <w:pStyle w:val="24"/>
        <w:rPr>
          <w:rFonts w:asciiTheme="minorHAnsi" w:hAnsiTheme="minorHAnsi" w:eastAsiaTheme="minorEastAsia" w:cstheme="minorBidi"/>
          <w:szCs w:val="22"/>
        </w:rPr>
      </w:pPr>
      <w:r>
        <w:fldChar w:fldCharType="begin"/>
      </w:r>
      <w:r>
        <w:instrText xml:space="preserve"> HYPERLINK \l "_Toc177885895" </w:instrText>
      </w:r>
      <w:r>
        <w:fldChar w:fldCharType="separate"/>
      </w:r>
      <w:r>
        <w:rPr>
          <w:rStyle w:val="32"/>
          <w14:scene3d w14:prst="orthographicFront">
            <w14:lightRig w14:rig="threePt" w14:dir="t">
              <w14:rot w14:lat="0" w14:lon="0" w14:rev="0"/>
            </w14:lightRig>
          </w14:scene3d>
        </w:rPr>
        <w:t xml:space="preserve">4.2 </w:t>
      </w:r>
      <w:r>
        <w:rPr>
          <w:rStyle w:val="32"/>
          <w:rFonts w:hint="eastAsia"/>
        </w:rPr>
        <w:t xml:space="preserve"> 服务设施设备</w:t>
      </w:r>
      <w:r>
        <w:tab/>
      </w:r>
      <w:r>
        <w:fldChar w:fldCharType="begin"/>
      </w:r>
      <w:r>
        <w:instrText xml:space="preserve"> PAGEREF _Toc177885895 \h </w:instrText>
      </w:r>
      <w:r>
        <w:fldChar w:fldCharType="separate"/>
      </w:r>
      <w:r>
        <w:t>2</w:t>
      </w:r>
      <w:r>
        <w:fldChar w:fldCharType="end"/>
      </w:r>
      <w:r>
        <w:fldChar w:fldCharType="end"/>
      </w:r>
    </w:p>
    <w:p w14:paraId="6802502F">
      <w:pPr>
        <w:pStyle w:val="24"/>
        <w:rPr>
          <w:rFonts w:asciiTheme="minorHAnsi" w:hAnsiTheme="minorHAnsi" w:eastAsiaTheme="minorEastAsia" w:cstheme="minorBidi"/>
          <w:szCs w:val="22"/>
        </w:rPr>
      </w:pPr>
      <w:r>
        <w:fldChar w:fldCharType="begin"/>
      </w:r>
      <w:r>
        <w:instrText xml:space="preserve"> HYPERLINK \l "_Toc177885896" </w:instrText>
      </w:r>
      <w:r>
        <w:fldChar w:fldCharType="separate"/>
      </w:r>
      <w:r>
        <w:rPr>
          <w:rStyle w:val="32"/>
          <w14:scene3d w14:prst="orthographicFront">
            <w14:lightRig w14:rig="threePt" w14:dir="t">
              <w14:rot w14:lat="0" w14:lon="0" w14:rev="0"/>
            </w14:lightRig>
          </w14:scene3d>
        </w:rPr>
        <w:t xml:space="preserve">4.3 </w:t>
      </w:r>
      <w:r>
        <w:rPr>
          <w:rStyle w:val="32"/>
          <w:rFonts w:hint="eastAsia"/>
        </w:rPr>
        <w:t xml:space="preserve"> 服务人员</w:t>
      </w:r>
      <w:r>
        <w:tab/>
      </w:r>
      <w:r>
        <w:fldChar w:fldCharType="begin"/>
      </w:r>
      <w:r>
        <w:instrText xml:space="preserve"> PAGEREF _Toc177885896 \h </w:instrText>
      </w:r>
      <w:r>
        <w:fldChar w:fldCharType="separate"/>
      </w:r>
      <w:r>
        <w:t>2</w:t>
      </w:r>
      <w:r>
        <w:fldChar w:fldCharType="end"/>
      </w:r>
      <w:r>
        <w:fldChar w:fldCharType="end"/>
      </w:r>
    </w:p>
    <w:p w14:paraId="3BCB1AD4">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"_Toc177885897" </w:instrText>
      </w:r>
      <w:r>
        <w:fldChar w:fldCharType="separate"/>
      </w:r>
      <w:r>
        <w:rPr>
          <w:rStyle w:val="32"/>
        </w:rPr>
        <w:t xml:space="preserve">5 </w:t>
      </w:r>
      <w:r>
        <w:rPr>
          <w:rStyle w:val="32"/>
          <w:rFonts w:hint="eastAsia"/>
        </w:rPr>
        <w:t xml:space="preserve"> 服务内容</w:t>
      </w:r>
      <w:r>
        <w:tab/>
      </w:r>
      <w:r>
        <w:fldChar w:fldCharType="begin"/>
      </w:r>
      <w:r>
        <w:instrText xml:space="preserve"> PAGEREF _Toc177885897 \h </w:instrText>
      </w:r>
      <w:r>
        <w:fldChar w:fldCharType="separate"/>
      </w:r>
      <w:r>
        <w:t>2</w:t>
      </w:r>
      <w:r>
        <w:fldChar w:fldCharType="end"/>
      </w:r>
      <w:r>
        <w:fldChar w:fldCharType="end"/>
      </w:r>
    </w:p>
    <w:p w14:paraId="79D1053D">
      <w:pPr>
        <w:pStyle w:val="24"/>
        <w:rPr>
          <w:rFonts w:asciiTheme="minorHAnsi" w:hAnsiTheme="minorHAnsi" w:eastAsiaTheme="minorEastAsia" w:cstheme="minorBidi"/>
          <w:szCs w:val="22"/>
        </w:rPr>
      </w:pPr>
      <w:r>
        <w:fldChar w:fldCharType="begin"/>
      </w:r>
      <w:r>
        <w:instrText xml:space="preserve"> HYPERLINK \l "_Toc177885898"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租赁与销售</w:t>
      </w:r>
      <w:r>
        <w:tab/>
      </w:r>
      <w:r>
        <w:fldChar w:fldCharType="begin"/>
      </w:r>
      <w:r>
        <w:instrText xml:space="preserve"> PAGEREF _Toc177885898 \h </w:instrText>
      </w:r>
      <w:r>
        <w:fldChar w:fldCharType="separate"/>
      </w:r>
      <w:r>
        <w:t>2</w:t>
      </w:r>
      <w:r>
        <w:fldChar w:fldCharType="end"/>
      </w:r>
      <w:r>
        <w:fldChar w:fldCharType="end"/>
      </w:r>
    </w:p>
    <w:p w14:paraId="62C2E746">
      <w:pPr>
        <w:pStyle w:val="24"/>
        <w:rPr>
          <w:rFonts w:asciiTheme="minorHAnsi" w:hAnsiTheme="minorHAnsi" w:eastAsiaTheme="minorEastAsia" w:cstheme="minorBidi"/>
          <w:szCs w:val="22"/>
        </w:rPr>
      </w:pPr>
      <w:r>
        <w:fldChar w:fldCharType="begin"/>
      </w:r>
      <w:r>
        <w:instrText xml:space="preserve"> HYPERLINK \l "_Toc177885899"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回收</w:t>
      </w:r>
      <w:r>
        <w:tab/>
      </w:r>
      <w:r>
        <w:fldChar w:fldCharType="begin"/>
      </w:r>
      <w:r>
        <w:instrText xml:space="preserve"> PAGEREF _Toc177885899 \h </w:instrText>
      </w:r>
      <w:r>
        <w:fldChar w:fldCharType="separate"/>
      </w:r>
      <w:r>
        <w:t>2</w:t>
      </w:r>
      <w:r>
        <w:fldChar w:fldCharType="end"/>
      </w:r>
      <w:r>
        <w:fldChar w:fldCharType="end"/>
      </w:r>
    </w:p>
    <w:p w14:paraId="6A2F5AD8">
      <w:pPr>
        <w:pStyle w:val="24"/>
        <w:rPr>
          <w:rFonts w:asciiTheme="minorHAnsi" w:hAnsiTheme="minorHAnsi" w:eastAsiaTheme="minorEastAsia" w:cstheme="minorBidi"/>
          <w:szCs w:val="22"/>
        </w:rPr>
      </w:pPr>
      <w:r>
        <w:fldChar w:fldCharType="begin"/>
      </w:r>
      <w:r>
        <w:instrText xml:space="preserve"> HYPERLINK \l "_Toc177885900" </w:instrText>
      </w:r>
      <w:r>
        <w:fldChar w:fldCharType="separate"/>
      </w:r>
      <w:r>
        <w:rPr>
          <w:rStyle w:val="32"/>
          <w14:scene3d w14:prst="orthographicFront">
            <w14:lightRig w14:rig="threePt" w14:dir="t">
              <w14:rot w14:lat="0" w14:lon="0" w14:rev="0"/>
            </w14:lightRig>
          </w14:scene3d>
        </w:rPr>
        <w:t xml:space="preserve">5.3 </w:t>
      </w:r>
      <w:r>
        <w:rPr>
          <w:rStyle w:val="32"/>
          <w:rFonts w:hint="eastAsia"/>
        </w:rPr>
        <w:t xml:space="preserve"> 循环共用服务</w:t>
      </w:r>
      <w:r>
        <w:tab/>
      </w:r>
      <w:r>
        <w:fldChar w:fldCharType="begin"/>
      </w:r>
      <w:r>
        <w:instrText xml:space="preserve"> PAGEREF _Toc177885900 \h </w:instrText>
      </w:r>
      <w:r>
        <w:fldChar w:fldCharType="separate"/>
      </w:r>
      <w:r>
        <w:t>3</w:t>
      </w:r>
      <w:r>
        <w:fldChar w:fldCharType="end"/>
      </w:r>
      <w:r>
        <w:fldChar w:fldCharType="end"/>
      </w:r>
    </w:p>
    <w:p w14:paraId="35BCF852">
      <w:pPr>
        <w:pStyle w:val="24"/>
        <w:rPr>
          <w:rFonts w:asciiTheme="minorHAnsi" w:hAnsiTheme="minorHAnsi" w:eastAsiaTheme="minorEastAsia" w:cstheme="minorBidi"/>
          <w:szCs w:val="22"/>
        </w:rPr>
      </w:pPr>
      <w:r>
        <w:fldChar w:fldCharType="begin"/>
      </w:r>
      <w:r>
        <w:instrText xml:space="preserve"> HYPERLINK \l "_Toc177885901" </w:instrText>
      </w:r>
      <w:r>
        <w:fldChar w:fldCharType="separate"/>
      </w:r>
      <w:r>
        <w:rPr>
          <w:rStyle w:val="32"/>
          <w14:scene3d w14:prst="orthographicFront">
            <w14:lightRig w14:rig="threePt" w14:dir="t">
              <w14:rot w14:lat="0" w14:lon="0" w14:rev="0"/>
            </w14:lightRig>
          </w14:scene3d>
        </w:rPr>
        <w:t xml:space="preserve">5.4 </w:t>
      </w:r>
      <w:r>
        <w:rPr>
          <w:rStyle w:val="32"/>
          <w:rFonts w:hint="eastAsia"/>
        </w:rPr>
        <w:t xml:space="preserve"> 信息化服务</w:t>
      </w:r>
      <w:r>
        <w:tab/>
      </w:r>
      <w:r>
        <w:fldChar w:fldCharType="begin"/>
      </w:r>
      <w:r>
        <w:instrText xml:space="preserve"> PAGEREF _Toc177885901 \h </w:instrText>
      </w:r>
      <w:r>
        <w:fldChar w:fldCharType="separate"/>
      </w:r>
      <w:r>
        <w:t>3</w:t>
      </w:r>
      <w:r>
        <w:fldChar w:fldCharType="end"/>
      </w:r>
      <w:r>
        <w:fldChar w:fldCharType="end"/>
      </w:r>
    </w:p>
    <w:p w14:paraId="2D8F3230">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"_Toc177885902" </w:instrText>
      </w:r>
      <w:r>
        <w:fldChar w:fldCharType="separate"/>
      </w:r>
      <w:r>
        <w:rPr>
          <w:rStyle w:val="32"/>
        </w:rPr>
        <w:t xml:space="preserve">6 </w:t>
      </w:r>
      <w:r>
        <w:rPr>
          <w:rStyle w:val="32"/>
          <w:rFonts w:hint="eastAsia"/>
        </w:rPr>
        <w:t xml:space="preserve"> 服务流程</w:t>
      </w:r>
      <w:r>
        <w:tab/>
      </w:r>
      <w:r>
        <w:fldChar w:fldCharType="begin"/>
      </w:r>
      <w:r>
        <w:instrText xml:space="preserve"> PAGEREF _Toc177885902 \h </w:instrText>
      </w:r>
      <w:r>
        <w:fldChar w:fldCharType="separate"/>
      </w:r>
      <w:r>
        <w:t>3</w:t>
      </w:r>
      <w:r>
        <w:fldChar w:fldCharType="end"/>
      </w:r>
      <w:r>
        <w:fldChar w:fldCharType="end"/>
      </w:r>
    </w:p>
    <w:p w14:paraId="69853174">
      <w:pPr>
        <w:pStyle w:val="24"/>
        <w:rPr>
          <w:rFonts w:asciiTheme="minorHAnsi" w:hAnsiTheme="minorHAnsi" w:eastAsiaTheme="minorEastAsia" w:cstheme="minorBidi"/>
          <w:szCs w:val="22"/>
        </w:rPr>
      </w:pPr>
      <w:r>
        <w:fldChar w:fldCharType="begin"/>
      </w:r>
      <w:r>
        <w:instrText xml:space="preserve"> HYPERLINK \l "_Toc177885903"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接待洽谈</w:t>
      </w:r>
      <w:r>
        <w:tab/>
      </w:r>
      <w:r>
        <w:fldChar w:fldCharType="begin"/>
      </w:r>
      <w:r>
        <w:instrText xml:space="preserve"> PAGEREF _Toc177885903 \h </w:instrText>
      </w:r>
      <w:r>
        <w:fldChar w:fldCharType="separate"/>
      </w:r>
      <w:r>
        <w:t>3</w:t>
      </w:r>
      <w:r>
        <w:fldChar w:fldCharType="end"/>
      </w:r>
      <w:r>
        <w:fldChar w:fldCharType="end"/>
      </w:r>
    </w:p>
    <w:p w14:paraId="35C71D10">
      <w:pPr>
        <w:pStyle w:val="24"/>
        <w:rPr>
          <w:rFonts w:asciiTheme="minorHAnsi" w:hAnsiTheme="minorHAnsi" w:eastAsiaTheme="minorEastAsia" w:cstheme="minorBidi"/>
          <w:szCs w:val="22"/>
        </w:rPr>
      </w:pPr>
      <w:r>
        <w:fldChar w:fldCharType="begin"/>
      </w:r>
      <w:r>
        <w:instrText xml:space="preserve"> HYPERLINK \l "_Toc177885904"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签订合同</w:t>
      </w:r>
      <w:r>
        <w:tab/>
      </w:r>
      <w:r>
        <w:fldChar w:fldCharType="begin"/>
      </w:r>
      <w:r>
        <w:instrText xml:space="preserve"> PAGEREF _Toc177885904 \h </w:instrText>
      </w:r>
      <w:r>
        <w:fldChar w:fldCharType="separate"/>
      </w:r>
      <w:r>
        <w:t>3</w:t>
      </w:r>
      <w:r>
        <w:fldChar w:fldCharType="end"/>
      </w:r>
      <w:r>
        <w:fldChar w:fldCharType="end"/>
      </w:r>
    </w:p>
    <w:p w14:paraId="32B2B432">
      <w:pPr>
        <w:pStyle w:val="24"/>
        <w:rPr>
          <w:rFonts w:asciiTheme="minorHAnsi" w:hAnsiTheme="minorHAnsi" w:eastAsiaTheme="minorEastAsia" w:cstheme="minorBidi"/>
          <w:szCs w:val="22"/>
        </w:rPr>
      </w:pPr>
      <w:r>
        <w:fldChar w:fldCharType="begin"/>
      </w:r>
      <w:r>
        <w:instrText xml:space="preserve"> HYPERLINK \l "_Toc177885905" </w:instrText>
      </w:r>
      <w:r>
        <w:fldChar w:fldCharType="separate"/>
      </w:r>
      <w:r>
        <w:rPr>
          <w:rStyle w:val="32"/>
          <w14:scene3d w14:prst="orthographicFront">
            <w14:lightRig w14:rig="threePt" w14:dir="t">
              <w14:rot w14:lat="0" w14:lon="0" w14:rev="0"/>
            </w14:lightRig>
          </w14:scene3d>
        </w:rPr>
        <w:t xml:space="preserve">6.3 </w:t>
      </w:r>
      <w:r>
        <w:rPr>
          <w:rStyle w:val="32"/>
          <w:rFonts w:hint="eastAsia"/>
        </w:rPr>
        <w:t xml:space="preserve"> 载具提供</w:t>
      </w:r>
      <w:r>
        <w:tab/>
      </w:r>
      <w:r>
        <w:fldChar w:fldCharType="begin"/>
      </w:r>
      <w:r>
        <w:instrText xml:space="preserve"> PAGEREF _Toc177885905 \h </w:instrText>
      </w:r>
      <w:r>
        <w:fldChar w:fldCharType="separate"/>
      </w:r>
      <w:r>
        <w:t>3</w:t>
      </w:r>
      <w:r>
        <w:fldChar w:fldCharType="end"/>
      </w:r>
      <w:r>
        <w:fldChar w:fldCharType="end"/>
      </w:r>
    </w:p>
    <w:p w14:paraId="0CB7C3A6">
      <w:pPr>
        <w:pStyle w:val="24"/>
        <w:rPr>
          <w:rFonts w:asciiTheme="minorHAnsi" w:hAnsiTheme="minorHAnsi" w:eastAsiaTheme="minorEastAsia" w:cstheme="minorBidi"/>
          <w:szCs w:val="22"/>
        </w:rPr>
      </w:pPr>
      <w:r>
        <w:fldChar w:fldCharType="begin"/>
      </w:r>
      <w:r>
        <w:instrText xml:space="preserve"> HYPERLINK \l "_Toc177885906" </w:instrText>
      </w:r>
      <w:r>
        <w:fldChar w:fldCharType="separate"/>
      </w:r>
      <w:r>
        <w:rPr>
          <w:rStyle w:val="32"/>
          <w14:scene3d w14:prst="orthographicFront">
            <w14:lightRig w14:rig="threePt" w14:dir="t">
              <w14:rot w14:lat="0" w14:lon="0" w14:rev="0"/>
            </w14:lightRig>
          </w14:scene3d>
        </w:rPr>
        <w:t xml:space="preserve">6.4 </w:t>
      </w:r>
      <w:r>
        <w:rPr>
          <w:rStyle w:val="32"/>
          <w:rFonts w:hint="eastAsia"/>
        </w:rPr>
        <w:t xml:space="preserve"> 费用结算</w:t>
      </w:r>
      <w:r>
        <w:tab/>
      </w:r>
      <w:r>
        <w:fldChar w:fldCharType="begin"/>
      </w:r>
      <w:r>
        <w:instrText xml:space="preserve"> PAGEREF _Toc177885906 \h </w:instrText>
      </w:r>
      <w:r>
        <w:fldChar w:fldCharType="separate"/>
      </w:r>
      <w:r>
        <w:t>3</w:t>
      </w:r>
      <w:r>
        <w:fldChar w:fldCharType="end"/>
      </w:r>
      <w:r>
        <w:fldChar w:fldCharType="end"/>
      </w:r>
    </w:p>
    <w:p w14:paraId="00D976D9">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"_Toc177885907" </w:instrText>
      </w:r>
      <w:r>
        <w:fldChar w:fldCharType="separate"/>
      </w:r>
      <w:r>
        <w:rPr>
          <w:rStyle w:val="32"/>
        </w:rPr>
        <w:t xml:space="preserve">7 </w:t>
      </w:r>
      <w:r>
        <w:rPr>
          <w:rStyle w:val="32"/>
          <w:rFonts w:hint="eastAsia"/>
        </w:rPr>
        <w:t xml:space="preserve"> 服务评价及改进</w:t>
      </w:r>
      <w:r>
        <w:tab/>
      </w:r>
      <w:r>
        <w:fldChar w:fldCharType="begin"/>
      </w:r>
      <w:r>
        <w:instrText xml:space="preserve"> PAGEREF _Toc177885907 \h </w:instrText>
      </w:r>
      <w:r>
        <w:fldChar w:fldCharType="separate"/>
      </w:r>
      <w:r>
        <w:t>3</w:t>
      </w:r>
      <w:r>
        <w:fldChar w:fldCharType="end"/>
      </w:r>
      <w:r>
        <w:fldChar w:fldCharType="end"/>
      </w:r>
    </w:p>
    <w:p w14:paraId="31B11782">
      <w:pPr>
        <w:pStyle w:val="24"/>
        <w:rPr>
          <w:rFonts w:asciiTheme="minorHAnsi" w:hAnsiTheme="minorHAnsi" w:eastAsiaTheme="minorEastAsia" w:cstheme="minorBidi"/>
          <w:szCs w:val="22"/>
        </w:rPr>
      </w:pPr>
      <w:r>
        <w:fldChar w:fldCharType="begin"/>
      </w:r>
      <w:r>
        <w:instrText xml:space="preserve"> HYPERLINK \l "_Toc177885908"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投诉处理</w:t>
      </w:r>
      <w:r>
        <w:tab/>
      </w:r>
      <w:r>
        <w:fldChar w:fldCharType="begin"/>
      </w:r>
      <w:r>
        <w:instrText xml:space="preserve"> PAGEREF _Toc177885908 \h </w:instrText>
      </w:r>
      <w:r>
        <w:fldChar w:fldCharType="separate"/>
      </w:r>
      <w:r>
        <w:t>3</w:t>
      </w:r>
      <w:r>
        <w:fldChar w:fldCharType="end"/>
      </w:r>
      <w:r>
        <w:fldChar w:fldCharType="end"/>
      </w:r>
    </w:p>
    <w:p w14:paraId="71DFA44D">
      <w:pPr>
        <w:pStyle w:val="24"/>
        <w:rPr>
          <w:rFonts w:asciiTheme="minorHAnsi" w:hAnsiTheme="minorHAnsi" w:eastAsiaTheme="minorEastAsia" w:cstheme="minorBidi"/>
          <w:szCs w:val="22"/>
        </w:rPr>
      </w:pPr>
      <w:r>
        <w:fldChar w:fldCharType="begin"/>
      </w:r>
      <w:r>
        <w:instrText xml:space="preserve"> HYPERLINK \l "_Toc177885909"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服务评价</w:t>
      </w:r>
      <w:r>
        <w:tab/>
      </w:r>
      <w:r>
        <w:fldChar w:fldCharType="begin"/>
      </w:r>
      <w:r>
        <w:instrText xml:space="preserve"> PAGEREF _Toc177885909 \h </w:instrText>
      </w:r>
      <w:r>
        <w:fldChar w:fldCharType="separate"/>
      </w:r>
      <w:r>
        <w:t>4</w:t>
      </w:r>
      <w:r>
        <w:fldChar w:fldCharType="end"/>
      </w:r>
      <w:r>
        <w:fldChar w:fldCharType="end"/>
      </w:r>
    </w:p>
    <w:p w14:paraId="2BAF0DA8">
      <w:pPr>
        <w:pStyle w:val="24"/>
        <w:rPr>
          <w:rFonts w:asciiTheme="minorHAnsi" w:hAnsiTheme="minorHAnsi" w:eastAsiaTheme="minorEastAsia" w:cstheme="minorBidi"/>
          <w:szCs w:val="22"/>
        </w:rPr>
      </w:pPr>
      <w:r>
        <w:fldChar w:fldCharType="begin"/>
      </w:r>
      <w:r>
        <w:instrText xml:space="preserve"> HYPERLINK \l "_Toc177885910"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服务改进</w:t>
      </w:r>
      <w:r>
        <w:tab/>
      </w:r>
      <w:r>
        <w:fldChar w:fldCharType="begin"/>
      </w:r>
      <w:r>
        <w:instrText xml:space="preserve"> PAGEREF _Toc177885910 \h </w:instrText>
      </w:r>
      <w:r>
        <w:fldChar w:fldCharType="separate"/>
      </w:r>
      <w:r>
        <w:t>4</w:t>
      </w:r>
      <w:r>
        <w:fldChar w:fldCharType="end"/>
      </w:r>
      <w:r>
        <w:fldChar w:fldCharType="end"/>
      </w:r>
    </w:p>
    <w:p w14:paraId="75ABA27F">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"_Toc177885911" </w:instrText>
      </w:r>
      <w:r>
        <w:fldChar w:fldCharType="separate"/>
      </w:r>
      <w:r>
        <w:rPr>
          <w:rStyle w:val="32"/>
          <w:rFonts w:hint="eastAsia"/>
        </w:rPr>
        <w:t>附录A（资料性）</w:t>
      </w:r>
      <w:r>
        <w:rPr>
          <w:rStyle w:val="32"/>
        </w:rPr>
        <w:t xml:space="preserve">  </w:t>
      </w:r>
      <w:r>
        <w:rPr>
          <w:rStyle w:val="32"/>
          <w:rFonts w:hint="eastAsia"/>
        </w:rPr>
        <w:t>服务质量评价表</w:t>
      </w:r>
      <w:r>
        <w:tab/>
      </w:r>
      <w:r>
        <w:fldChar w:fldCharType="begin"/>
      </w:r>
      <w:r>
        <w:instrText xml:space="preserve"> PAGEREF _Toc177885911 \h </w:instrText>
      </w:r>
      <w:r>
        <w:fldChar w:fldCharType="separate"/>
      </w:r>
      <w:r>
        <w:t>5</w:t>
      </w:r>
      <w:r>
        <w:fldChar w:fldCharType="end"/>
      </w:r>
      <w:r>
        <w:fldChar w:fldCharType="end"/>
      </w:r>
    </w:p>
    <w:p w14:paraId="5485D261">
      <w:pPr>
        <w:pStyle w:val="19"/>
        <w:tabs>
          <w:tab w:val="right" w:leader="dot" w:pos="9344"/>
        </w:tabs>
        <w:rPr>
          <w:rFonts w:asciiTheme="minorHAnsi" w:hAnsiTheme="minorHAnsi" w:eastAsiaTheme="minorEastAsia" w:cstheme="minorBidi"/>
          <w:szCs w:val="22"/>
        </w:rPr>
      </w:pPr>
      <w:r>
        <w:fldChar w:fldCharType="begin"/>
      </w:r>
      <w:r>
        <w:instrText xml:space="preserve"> HYPERLINK \l "_Toc177885912" </w:instrText>
      </w:r>
      <w:r>
        <w:fldChar w:fldCharType="separate"/>
      </w:r>
      <w:r>
        <w:rPr>
          <w:rStyle w:val="32"/>
          <w:rFonts w:hint="eastAsia"/>
        </w:rPr>
        <w:t>参考文献</w:t>
      </w:r>
      <w:r>
        <w:tab/>
      </w:r>
      <w:r>
        <w:fldChar w:fldCharType="begin"/>
      </w:r>
      <w:r>
        <w:instrText xml:space="preserve"> PAGEREF _Toc177885912 \h </w:instrText>
      </w:r>
      <w:r>
        <w:fldChar w:fldCharType="separate"/>
      </w:r>
      <w:r>
        <w:t>6</w:t>
      </w:r>
      <w:r>
        <w:fldChar w:fldCharType="end"/>
      </w:r>
      <w:r>
        <w:fldChar w:fldCharType="end"/>
      </w:r>
    </w:p>
    <w:p w14:paraId="2F12A599">
      <w:pPr>
        <w:pStyle w:val="91"/>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64E958B4">
      <w:pPr>
        <w:pStyle w:val="89"/>
        <w:spacing w:after="468"/>
      </w:pPr>
      <w:bookmarkStart w:id="20" w:name="_Toc177885889"/>
      <w:bookmarkStart w:id="21" w:name="BookMark2"/>
      <w:r>
        <w:rPr>
          <w:spacing w:val="320"/>
        </w:rPr>
        <w:t>前</w:t>
      </w:r>
      <w:r>
        <w:t>言</w:t>
      </w:r>
      <w:bookmarkEnd w:id="19"/>
      <w:bookmarkEnd w:id="20"/>
    </w:p>
    <w:p w14:paraId="66FCD44B">
      <w:pPr>
        <w:pStyle w:val="56"/>
        <w:ind w:firstLine="420"/>
      </w:pPr>
      <w:r>
        <w:rPr>
          <w:rFonts w:hint="eastAsia"/>
        </w:rPr>
        <w:t>本文件按照GB/T 1.1—2020《标准化工作导则  第1部分：标准化文件的结构和起草规则》的规定起草。</w:t>
      </w:r>
    </w:p>
    <w:p w14:paraId="0C693876">
      <w:pPr>
        <w:pStyle w:val="56"/>
        <w:ind w:firstLine="420"/>
      </w:pPr>
      <w:r>
        <w:rPr>
          <w:rFonts w:hint="eastAsia"/>
        </w:rPr>
        <w:t>请注意本文件的某些内容可能涉及专利。本文件的发布机构不承担识别专利的责任。</w:t>
      </w:r>
    </w:p>
    <w:p w14:paraId="4E069C24">
      <w:pPr>
        <w:pStyle w:val="56"/>
        <w:ind w:firstLine="420"/>
      </w:pPr>
      <w:r>
        <w:rPr>
          <w:rFonts w:hint="eastAsia"/>
        </w:rPr>
        <w:t>本文件由山东省商务厅提出并组织实施。</w:t>
      </w:r>
    </w:p>
    <w:p w14:paraId="6618A3B2">
      <w:pPr>
        <w:pStyle w:val="56"/>
        <w:ind w:firstLine="420"/>
      </w:pPr>
      <w:r>
        <w:rPr>
          <w:rFonts w:hint="eastAsia"/>
        </w:rPr>
        <w:t>本文件由山东省商贸物流标准化技术委员会归口。</w:t>
      </w:r>
    </w:p>
    <w:p w14:paraId="5A4CC9F1">
      <w:pPr>
        <w:pStyle w:val="56"/>
        <w:ind w:firstLine="420"/>
      </w:pPr>
    </w:p>
    <w:p w14:paraId="3567E3D3">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1"/>
    <w:p w14:paraId="4DE53E02">
      <w:pPr>
        <w:spacing w:line="20" w:lineRule="exact"/>
        <w:jc w:val="center"/>
        <w:rPr>
          <w:rFonts w:ascii="黑体" w:hAnsi="黑体" w:eastAsia="黑体"/>
          <w:sz w:val="32"/>
          <w:szCs w:val="32"/>
        </w:rPr>
      </w:pPr>
      <w:bookmarkStart w:id="22" w:name="BookMark4"/>
    </w:p>
    <w:p w14:paraId="6E88B8C7">
      <w:pPr>
        <w:spacing w:line="20" w:lineRule="exact"/>
        <w:jc w:val="center"/>
        <w:rPr>
          <w:rFonts w:ascii="黑体" w:hAnsi="黑体" w:eastAsia="黑体"/>
          <w:sz w:val="32"/>
          <w:szCs w:val="32"/>
        </w:rPr>
      </w:pPr>
    </w:p>
    <w:sdt>
      <w:sdtPr>
        <w:tag w:val="NEW_STAND_NAME"/>
        <w:id w:val="595910757"/>
        <w:lock w:val="sdtLocked"/>
        <w:placeholder>
          <w:docPart w:val="021382BEB6334716A3C4C81BC1FFB301"/>
        </w:placeholder>
      </w:sdtPr>
      <w:sdtContent>
        <w:p w14:paraId="0E259345">
          <w:pPr>
            <w:pStyle w:val="177"/>
            <w:spacing w:before="3" w:beforeLines="1" w:after="686" w:afterLines="220"/>
          </w:pPr>
          <w:bookmarkStart w:id="23" w:name="NEW_STAND_NAME"/>
          <w:r>
            <w:rPr>
              <w:rFonts w:hint="eastAsia"/>
            </w:rPr>
            <w:t>单元化物流载具运营网点服务规范</w:t>
          </w:r>
        </w:p>
      </w:sdtContent>
    </w:sdt>
    <w:bookmarkEnd w:id="23"/>
    <w:p w14:paraId="528F83F9">
      <w:pPr>
        <w:pStyle w:val="104"/>
        <w:spacing w:before="312" w:after="312"/>
      </w:pPr>
      <w:bookmarkStart w:id="24" w:name="_Toc17233333"/>
      <w:bookmarkStart w:id="25" w:name="_Toc24884211"/>
      <w:bookmarkStart w:id="26" w:name="_Toc177198426"/>
      <w:bookmarkStart w:id="27" w:name="_Toc26986771"/>
      <w:bookmarkStart w:id="28" w:name="_Toc177885890"/>
      <w:bookmarkStart w:id="29" w:name="_Toc26718930"/>
      <w:bookmarkStart w:id="30" w:name="_Toc17233325"/>
      <w:bookmarkStart w:id="31" w:name="_Toc26648465"/>
      <w:bookmarkStart w:id="32" w:name="_Toc24884218"/>
      <w:bookmarkStart w:id="33" w:name="_Toc26986530"/>
      <w:r>
        <w:rPr>
          <w:rFonts w:hint="eastAsia"/>
        </w:rPr>
        <w:t>范围</w:t>
      </w:r>
      <w:bookmarkEnd w:id="24"/>
      <w:bookmarkEnd w:id="25"/>
      <w:bookmarkEnd w:id="26"/>
      <w:bookmarkEnd w:id="27"/>
      <w:bookmarkEnd w:id="28"/>
      <w:bookmarkEnd w:id="29"/>
      <w:bookmarkEnd w:id="30"/>
      <w:bookmarkEnd w:id="31"/>
      <w:bookmarkEnd w:id="32"/>
      <w:bookmarkEnd w:id="33"/>
    </w:p>
    <w:p w14:paraId="04A823D9">
      <w:pPr>
        <w:pStyle w:val="56"/>
        <w:ind w:firstLine="420"/>
      </w:pPr>
      <w:bookmarkStart w:id="34" w:name="_Toc17233326"/>
      <w:bookmarkStart w:id="35" w:name="_Toc24884212"/>
      <w:bookmarkStart w:id="36" w:name="_Toc26648466"/>
      <w:bookmarkStart w:id="37" w:name="_Toc24884219"/>
      <w:bookmarkStart w:id="38" w:name="_Toc17233334"/>
      <w:r>
        <w:rPr>
          <w:rFonts w:hint="eastAsia"/>
        </w:rPr>
        <w:t>本文件规定了单元化物流载具运营网点服务条件、服务内容、服务流程等要求，描述了对应的证实方法。</w:t>
      </w:r>
    </w:p>
    <w:p w14:paraId="66C6D35A">
      <w:pPr>
        <w:pStyle w:val="56"/>
        <w:ind w:firstLine="420"/>
      </w:pPr>
      <w:r>
        <w:rPr>
          <w:rFonts w:hint="eastAsia"/>
        </w:rPr>
        <w:t>本文件适用于周转箱、托盘等单元化物流载具运营网点服务实施与管理。</w:t>
      </w:r>
    </w:p>
    <w:p w14:paraId="74A7131C">
      <w:pPr>
        <w:pStyle w:val="104"/>
        <w:spacing w:before="312" w:after="312"/>
      </w:pPr>
      <w:bookmarkStart w:id="39" w:name="_Toc177885891"/>
      <w:bookmarkStart w:id="40" w:name="_Toc26986531"/>
      <w:bookmarkStart w:id="41" w:name="_Toc26718931"/>
      <w:bookmarkStart w:id="42" w:name="_Toc26986772"/>
      <w:bookmarkStart w:id="43" w:name="_Toc177198427"/>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2210F4A9D9514149AC47FA0AB2C24B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8951D3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070DEB">
      <w:pPr>
        <w:pStyle w:val="56"/>
        <w:ind w:firstLine="420"/>
      </w:pPr>
      <w:r>
        <w:rPr>
          <w:rFonts w:hint="eastAsia"/>
        </w:rPr>
        <w:t>GB 2894  安全标志及其使用导则</w:t>
      </w:r>
    </w:p>
    <w:p w14:paraId="0BADD826">
      <w:pPr>
        <w:pStyle w:val="56"/>
        <w:ind w:firstLine="420"/>
      </w:pPr>
      <w:r>
        <w:rPr>
          <w:rFonts w:hint="eastAsia"/>
        </w:rPr>
        <w:t>GB/T 2934  联运通用平托盘  主要尺寸及公差</w:t>
      </w:r>
    </w:p>
    <w:p w14:paraId="2749F33C">
      <w:pPr>
        <w:pStyle w:val="56"/>
        <w:ind w:firstLine="420"/>
      </w:pPr>
      <w:r>
        <w:rPr>
          <w:rFonts w:hint="eastAsia"/>
        </w:rPr>
        <w:t>GB/T 4892  硬质直方体运输包装尺寸系列</w:t>
      </w:r>
    </w:p>
    <w:p w14:paraId="5B051EEF">
      <w:pPr>
        <w:pStyle w:val="56"/>
        <w:ind w:firstLine="420"/>
      </w:pPr>
      <w:r>
        <w:rPr>
          <w:rFonts w:hint="eastAsia"/>
        </w:rPr>
        <w:t>GB/T 19039  顾客满意测评通则</w:t>
      </w:r>
    </w:p>
    <w:p w14:paraId="6E80A45E">
      <w:pPr>
        <w:pStyle w:val="56"/>
        <w:ind w:firstLine="420"/>
      </w:pPr>
      <w:r>
        <w:rPr>
          <w:rFonts w:hint="eastAsia"/>
        </w:rPr>
        <w:t>GB 25201  建筑消防设施的维护管理</w:t>
      </w:r>
    </w:p>
    <w:p w14:paraId="582E996A">
      <w:pPr>
        <w:pStyle w:val="56"/>
        <w:ind w:firstLine="420"/>
      </w:pPr>
      <w:r>
        <w:rPr>
          <w:rFonts w:hint="eastAsia"/>
        </w:rPr>
        <w:t>GB 31603  食品安全国家标准  食品接触材料及制品生产通用卫生规范</w:t>
      </w:r>
    </w:p>
    <w:p w14:paraId="0EC06DAC">
      <w:pPr>
        <w:pStyle w:val="56"/>
        <w:ind w:firstLine="420"/>
      </w:pPr>
      <w:r>
        <w:rPr>
          <w:rFonts w:hint="eastAsia"/>
        </w:rPr>
        <w:t>GB/T 35781  托盘共用系统塑料平托盘</w:t>
      </w:r>
    </w:p>
    <w:p w14:paraId="073C241F">
      <w:pPr>
        <w:pStyle w:val="56"/>
        <w:ind w:firstLine="420"/>
      </w:pPr>
      <w:r>
        <w:rPr>
          <w:rFonts w:hint="eastAsia"/>
        </w:rPr>
        <w:t>GB/T 39907  果蔬类周转箱尺寸系列及技术要求</w:t>
      </w:r>
    </w:p>
    <w:p w14:paraId="29427B6D">
      <w:pPr>
        <w:pStyle w:val="56"/>
        <w:ind w:firstLine="420"/>
      </w:pPr>
      <w:r>
        <w:rPr>
          <w:rFonts w:hint="eastAsia"/>
        </w:rPr>
        <w:t>GB 50140  建筑灭火器配置设计规范</w:t>
      </w:r>
    </w:p>
    <w:p w14:paraId="1B8DE31B">
      <w:pPr>
        <w:pStyle w:val="56"/>
        <w:ind w:firstLine="420"/>
      </w:pPr>
      <w:r>
        <w:rPr>
          <w:rFonts w:hint="eastAsia"/>
        </w:rPr>
        <w:t>BB/T 0043  塑料物流周转箱</w:t>
      </w:r>
    </w:p>
    <w:p w14:paraId="2D4E316A">
      <w:pPr>
        <w:pStyle w:val="104"/>
        <w:spacing w:before="312" w:after="312"/>
      </w:pPr>
      <w:bookmarkStart w:id="44" w:name="_Toc177885892"/>
      <w:bookmarkStart w:id="45" w:name="_Toc177198428"/>
      <w:r>
        <w:rPr>
          <w:rFonts w:hint="eastAsia"/>
          <w:szCs w:val="21"/>
        </w:rPr>
        <w:t>术语和定义</w:t>
      </w:r>
      <w:bookmarkEnd w:id="44"/>
      <w:bookmarkEnd w:id="45"/>
    </w:p>
    <w:sdt>
      <w:sdtPr>
        <w:id w:val="-1909835108"/>
        <w:placeholder>
          <w:docPart w:val="B6C04ECD658C4D36A0E55EFDD044BE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CA8899">
          <w:pPr>
            <w:pStyle w:val="56"/>
            <w:ind w:firstLine="420"/>
          </w:pPr>
          <w:bookmarkStart w:id="46" w:name="_Toc26986532"/>
          <w:bookmarkEnd w:id="46"/>
          <w:r>
            <w:t>下列术语和定义适用于本文件。</w:t>
          </w:r>
        </w:p>
      </w:sdtContent>
    </w:sdt>
    <w:p w14:paraId="13E72E4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单元化物流载具  unitized logistics implement</w:t>
      </w:r>
    </w:p>
    <w:p w14:paraId="26E7F5D9">
      <w:pPr>
        <w:pStyle w:val="56"/>
        <w:ind w:firstLine="420"/>
      </w:pPr>
      <w:r>
        <w:rPr>
          <w:rFonts w:hint="eastAsia"/>
        </w:rPr>
        <w:t>在物流活动过程中，用于把零散或不规则物品组成一个储运基础单元的物流器具。</w:t>
      </w:r>
    </w:p>
    <w:p w14:paraId="7612F4A6">
      <w:pPr>
        <w:pStyle w:val="223"/>
        <w:ind w:left="420" w:hanging="420" w:hangingChars="200"/>
        <w:rPr>
          <w:rFonts w:hAnsi="宋体"/>
        </w:rPr>
      </w:pPr>
      <w:r>
        <w:rPr>
          <w:rFonts w:ascii="黑体" w:hAnsi="黑体" w:eastAsia="黑体"/>
        </w:rPr>
        <w:br w:type="textWrapping"/>
      </w:r>
      <w:r>
        <w:rPr>
          <w:rFonts w:hint="eastAsia" w:ascii="黑体" w:hAnsi="黑体" w:eastAsia="黑体"/>
        </w:rPr>
        <w:t>运营网点  operation network</w:t>
      </w:r>
    </w:p>
    <w:p w14:paraId="2BCF5050">
      <w:pPr>
        <w:pStyle w:val="56"/>
        <w:ind w:firstLine="420"/>
      </w:pPr>
      <w:r>
        <w:rPr>
          <w:rFonts w:hint="eastAsia" w:hAnsi="宋体"/>
        </w:rPr>
        <w:t>向社会提供单元化物流载具（3.1）租赁</w:t>
      </w:r>
      <w:r>
        <w:rPr>
          <w:rFonts w:hint="eastAsia"/>
        </w:rPr>
        <w:t>、销售、回收、回购、信息查询、产品咨询等服务的场所。</w:t>
      </w:r>
    </w:p>
    <w:p w14:paraId="4B48D5AB">
      <w:pPr>
        <w:pStyle w:val="104"/>
        <w:spacing w:before="312" w:after="312"/>
      </w:pPr>
      <w:bookmarkStart w:id="47" w:name="_Toc177885893"/>
      <w:bookmarkStart w:id="48" w:name="_Toc177198429"/>
      <w:r>
        <w:rPr>
          <w:rFonts w:hint="eastAsia"/>
        </w:rPr>
        <w:t>服务条件</w:t>
      </w:r>
      <w:bookmarkEnd w:id="47"/>
      <w:bookmarkEnd w:id="48"/>
    </w:p>
    <w:p w14:paraId="432BCDCB">
      <w:pPr>
        <w:pStyle w:val="105"/>
        <w:spacing w:before="156" w:after="156"/>
      </w:pPr>
      <w:bookmarkStart w:id="49" w:name="_Toc177885894"/>
      <w:bookmarkStart w:id="50" w:name="_Toc177198430"/>
      <w:r>
        <w:rPr>
          <w:rFonts w:hint="eastAsia"/>
        </w:rPr>
        <w:t>服务环境</w:t>
      </w:r>
      <w:bookmarkEnd w:id="49"/>
      <w:bookmarkEnd w:id="50"/>
    </w:p>
    <w:p w14:paraId="7A71F0D4">
      <w:pPr>
        <w:pStyle w:val="165"/>
      </w:pPr>
      <w:r>
        <w:rPr>
          <w:rFonts w:hint="eastAsia"/>
        </w:rPr>
        <w:t>运营网点外观应整洁大方，标牌醒目，相关要求如下：</w:t>
      </w:r>
    </w:p>
    <w:p w14:paraId="34CE1520">
      <w:pPr>
        <w:pStyle w:val="132"/>
      </w:pPr>
      <w:r>
        <w:rPr>
          <w:rFonts w:hint="eastAsia"/>
        </w:rPr>
        <w:t>标识应明示运营商名称、业务范围等相关信息；</w:t>
      </w:r>
    </w:p>
    <w:p w14:paraId="610D48A3">
      <w:pPr>
        <w:pStyle w:val="132"/>
      </w:pPr>
      <w:r>
        <w:rPr>
          <w:rFonts w:hint="eastAsia"/>
        </w:rPr>
        <w:t>夜间营业的网点外部标识应亮度适中，易于客户辨识；</w:t>
      </w:r>
    </w:p>
    <w:p w14:paraId="55A87127">
      <w:pPr>
        <w:pStyle w:val="132"/>
      </w:pPr>
      <w:r>
        <w:rPr>
          <w:rFonts w:hint="eastAsia"/>
        </w:rPr>
        <w:t>内部功能分区应标识清晰、标注得体、指引明确；</w:t>
      </w:r>
    </w:p>
    <w:p w14:paraId="0C64CDE7">
      <w:pPr>
        <w:pStyle w:val="132"/>
      </w:pPr>
      <w:r>
        <w:rPr>
          <w:rFonts w:hint="eastAsia"/>
        </w:rPr>
        <w:t>各种标识应规范统一，无污渍、无破损，以汉字为主，可加注其他语言。</w:t>
      </w:r>
    </w:p>
    <w:p w14:paraId="18CE873F">
      <w:pPr>
        <w:pStyle w:val="165"/>
      </w:pPr>
      <w:r>
        <w:rPr>
          <w:rFonts w:hint="eastAsia"/>
        </w:rPr>
        <w:t>运营网点内各功能区域应合理布局，宜分开设立接待区、作业区和办公区。</w:t>
      </w:r>
    </w:p>
    <w:p w14:paraId="13AF53B8">
      <w:pPr>
        <w:pStyle w:val="165"/>
      </w:pPr>
      <w:r>
        <w:rPr>
          <w:rFonts w:hint="eastAsia"/>
        </w:rPr>
        <w:t>合理设置运营网点内安全标志，设置要求应符合GB 2894的规定。</w:t>
      </w:r>
    </w:p>
    <w:p w14:paraId="584C5ABB">
      <w:pPr>
        <w:pStyle w:val="165"/>
      </w:pPr>
      <w:r>
        <w:rPr>
          <w:rFonts w:hint="eastAsia"/>
        </w:rPr>
        <w:t>应在显著位置明示营业执照、管理制度、服务内容、收费标准、咨询电话等。</w:t>
      </w:r>
    </w:p>
    <w:p w14:paraId="5A2B32E8">
      <w:pPr>
        <w:pStyle w:val="105"/>
        <w:spacing w:before="156" w:after="156"/>
      </w:pPr>
      <w:bookmarkStart w:id="51" w:name="_Toc177198431"/>
      <w:bookmarkStart w:id="52" w:name="_Toc177885895"/>
      <w:r>
        <w:rPr>
          <w:rFonts w:hint="eastAsia"/>
        </w:rPr>
        <w:t>服务设施设备</w:t>
      </w:r>
      <w:bookmarkEnd w:id="51"/>
      <w:bookmarkEnd w:id="52"/>
    </w:p>
    <w:p w14:paraId="5115EEE8">
      <w:pPr>
        <w:pStyle w:val="65"/>
        <w:spacing w:before="156" w:after="156"/>
      </w:pPr>
      <w:bookmarkStart w:id="53" w:name="_Toc177198432"/>
      <w:r>
        <w:rPr>
          <w:rFonts w:hint="eastAsia"/>
        </w:rPr>
        <w:t>单元化物流载具</w:t>
      </w:r>
      <w:bookmarkEnd w:id="53"/>
    </w:p>
    <w:p w14:paraId="03A2270C">
      <w:pPr>
        <w:pStyle w:val="164"/>
      </w:pPr>
      <w:r>
        <w:rPr>
          <w:rFonts w:hint="eastAsia"/>
        </w:rPr>
        <w:t>单元化物流载具应清洁无污染，无明显变形、无裂痕、无破损等功能性损伤，尺寸及产品性能要求如下：</w:t>
      </w:r>
    </w:p>
    <w:p w14:paraId="7EC0B925">
      <w:pPr>
        <w:pStyle w:val="132"/>
      </w:pPr>
      <w:r>
        <w:rPr>
          <w:rFonts w:hint="eastAsia"/>
        </w:rPr>
        <w:t>单元化物流载具应符合GB/T 4892规定的尺寸系列；</w:t>
      </w:r>
    </w:p>
    <w:p w14:paraId="428BACB7">
      <w:pPr>
        <w:pStyle w:val="132"/>
      </w:pPr>
      <w:r>
        <w:rPr>
          <w:rFonts w:hint="eastAsia"/>
        </w:rPr>
        <w:t>托盘应符合GB/T 2934和GB/T 35781规定的尺寸与质量要求；</w:t>
      </w:r>
    </w:p>
    <w:p w14:paraId="18E38002">
      <w:pPr>
        <w:pStyle w:val="132"/>
      </w:pPr>
      <w:r>
        <w:rPr>
          <w:rFonts w:hint="eastAsia"/>
        </w:rPr>
        <w:t>果蔬类周转箱应符合GB/T 39907的规定，其它塑料物流周转箱应符合BB/T 0043的规定。</w:t>
      </w:r>
    </w:p>
    <w:p w14:paraId="2266C802">
      <w:pPr>
        <w:pStyle w:val="164"/>
      </w:pPr>
      <w:r>
        <w:rPr>
          <w:rFonts w:hint="eastAsia"/>
        </w:rPr>
        <w:t>直接接触食品的单元化物流载具卫生要求应符合GB 31603的规定。</w:t>
      </w:r>
    </w:p>
    <w:p w14:paraId="0EC077B4">
      <w:pPr>
        <w:pStyle w:val="164"/>
      </w:pPr>
      <w:r>
        <w:rPr>
          <w:rFonts w:hint="eastAsia"/>
        </w:rPr>
        <w:t>宜对每一个单元化物流载具赋予唯一性编码，可采用一维条码、二维码和射频识别（RFID）电子标签作为标识载体，用于单元化物流载具的追踪。</w:t>
      </w:r>
    </w:p>
    <w:p w14:paraId="0CA87ECE">
      <w:pPr>
        <w:pStyle w:val="65"/>
        <w:spacing w:before="156" w:after="156"/>
      </w:pPr>
      <w:bookmarkStart w:id="54" w:name="_Toc177198433"/>
      <w:r>
        <w:rPr>
          <w:rFonts w:hint="eastAsia"/>
        </w:rPr>
        <w:t>辅助设施设备</w:t>
      </w:r>
      <w:bookmarkEnd w:id="54"/>
    </w:p>
    <w:p w14:paraId="029C8838">
      <w:pPr>
        <w:pStyle w:val="164"/>
      </w:pPr>
      <w:r>
        <w:rPr>
          <w:rFonts w:hint="eastAsia"/>
        </w:rPr>
        <w:t>应配备单元化物流载具分拣、储存、搬运等物流设备，定期对设备进行安全检查和保养维护。</w:t>
      </w:r>
    </w:p>
    <w:p w14:paraId="25C566C2">
      <w:pPr>
        <w:pStyle w:val="164"/>
      </w:pPr>
      <w:r>
        <w:rPr>
          <w:rFonts w:hint="eastAsia"/>
        </w:rPr>
        <w:t>应根据运营网点的服务内容，配备相应的质检、维修、清洗等设备。</w:t>
      </w:r>
    </w:p>
    <w:p w14:paraId="56BFB3DC">
      <w:pPr>
        <w:pStyle w:val="164"/>
      </w:pPr>
      <w:r>
        <w:rPr>
          <w:rFonts w:hint="eastAsia"/>
        </w:rPr>
        <w:t>应配备车辆或通过外部服务满足运营网点运输需求，合理规划车辆通道。</w:t>
      </w:r>
    </w:p>
    <w:p w14:paraId="35D1F059">
      <w:pPr>
        <w:pStyle w:val="164"/>
      </w:pPr>
      <w:r>
        <w:rPr>
          <w:rFonts w:hint="eastAsia"/>
        </w:rPr>
        <w:t>应配备符合消防安全管理规定的消防设施，并每年检测不少于1次，发现问题及时进行维修或更换。消防设施的配置设计和维护管理要求应符合GB 50140、GB 25201的规定。</w:t>
      </w:r>
    </w:p>
    <w:p w14:paraId="38D3F78D">
      <w:pPr>
        <w:pStyle w:val="164"/>
      </w:pPr>
      <w:r>
        <w:rPr>
          <w:rFonts w:hint="eastAsia"/>
        </w:rPr>
        <w:t>应配备卫生消毒和防疫设施设备。</w:t>
      </w:r>
    </w:p>
    <w:p w14:paraId="01EE9C6A">
      <w:pPr>
        <w:pStyle w:val="164"/>
      </w:pPr>
      <w:r>
        <w:rPr>
          <w:rFonts w:hint="eastAsia"/>
        </w:rPr>
        <w:t>宜配备用于条码扫描、射频标签识别的信息化设备。</w:t>
      </w:r>
    </w:p>
    <w:p w14:paraId="062D542A">
      <w:pPr>
        <w:pStyle w:val="164"/>
      </w:pPr>
      <w:r>
        <w:rPr>
          <w:rFonts w:hint="eastAsia"/>
        </w:rPr>
        <w:t>宜配备安防监控设施设备。</w:t>
      </w:r>
    </w:p>
    <w:p w14:paraId="105313F6">
      <w:pPr>
        <w:pStyle w:val="164"/>
      </w:pPr>
      <w:r>
        <w:rPr>
          <w:rFonts w:hint="eastAsia"/>
        </w:rPr>
        <w:t>宜配备计算机、打印机等办公设备。</w:t>
      </w:r>
    </w:p>
    <w:p w14:paraId="744CE87B">
      <w:pPr>
        <w:pStyle w:val="105"/>
        <w:spacing w:before="156" w:after="156"/>
      </w:pPr>
      <w:bookmarkStart w:id="55" w:name="_Toc177885896"/>
      <w:bookmarkStart w:id="56" w:name="_Toc177198434"/>
      <w:r>
        <w:rPr>
          <w:rFonts w:hint="eastAsia"/>
        </w:rPr>
        <w:t>服务人员</w:t>
      </w:r>
      <w:bookmarkEnd w:id="55"/>
      <w:bookmarkEnd w:id="56"/>
    </w:p>
    <w:p w14:paraId="1E9C0B4F">
      <w:pPr>
        <w:pStyle w:val="165"/>
      </w:pPr>
      <w:r>
        <w:rPr>
          <w:rFonts w:hint="eastAsia"/>
        </w:rPr>
        <w:t>应注重仪容仪表，保持良好的服务态度。</w:t>
      </w:r>
    </w:p>
    <w:p w14:paraId="0FFD777A">
      <w:pPr>
        <w:pStyle w:val="165"/>
      </w:pPr>
      <w:r>
        <w:rPr>
          <w:rFonts w:hint="eastAsia"/>
        </w:rPr>
        <w:t>进入作业区时，应穿戴安全劳动防护用品。</w:t>
      </w:r>
    </w:p>
    <w:p w14:paraId="32385736">
      <w:pPr>
        <w:pStyle w:val="165"/>
      </w:pPr>
      <w:r>
        <w:rPr>
          <w:rFonts w:hint="eastAsia"/>
        </w:rPr>
        <w:t>应经培训上岗，熟知服务内容和业务流程，掌握操作技能。</w:t>
      </w:r>
    </w:p>
    <w:p w14:paraId="241E6F49">
      <w:pPr>
        <w:pStyle w:val="165"/>
      </w:pPr>
      <w:r>
        <w:rPr>
          <w:rFonts w:hint="eastAsia"/>
        </w:rPr>
        <w:t>应具有较强的沟通能力，为客户提供有针对性的服务建议。</w:t>
      </w:r>
    </w:p>
    <w:p w14:paraId="60464B88">
      <w:pPr>
        <w:pStyle w:val="104"/>
        <w:spacing w:before="312" w:after="312"/>
      </w:pPr>
      <w:bookmarkStart w:id="57" w:name="_Toc177885897"/>
      <w:bookmarkStart w:id="58" w:name="_Toc177198435"/>
      <w:r>
        <w:rPr>
          <w:rFonts w:hint="eastAsia"/>
        </w:rPr>
        <w:t>服务内容</w:t>
      </w:r>
      <w:bookmarkEnd w:id="57"/>
      <w:bookmarkEnd w:id="58"/>
    </w:p>
    <w:p w14:paraId="10A32CA7">
      <w:pPr>
        <w:pStyle w:val="105"/>
        <w:spacing w:before="156" w:after="156"/>
      </w:pPr>
      <w:bookmarkStart w:id="59" w:name="_Toc177198436"/>
      <w:bookmarkStart w:id="60" w:name="_Toc177885898"/>
      <w:r>
        <w:rPr>
          <w:rFonts w:hint="eastAsia"/>
        </w:rPr>
        <w:t>租赁与销售</w:t>
      </w:r>
      <w:bookmarkEnd w:id="59"/>
      <w:bookmarkEnd w:id="60"/>
    </w:p>
    <w:p w14:paraId="64C5719F">
      <w:pPr>
        <w:pStyle w:val="56"/>
        <w:ind w:firstLine="420"/>
      </w:pPr>
      <w:r>
        <w:rPr>
          <w:rFonts w:hint="eastAsia"/>
        </w:rPr>
        <w:t>运营网点应根据客户的租赁或销售订单准备相应的单元化物流载具，向客户提供其合格报告或相应的质量证明材料，使用约定的交接单经双方共同确认后交接。</w:t>
      </w:r>
    </w:p>
    <w:p w14:paraId="186D9267">
      <w:pPr>
        <w:pStyle w:val="105"/>
        <w:spacing w:before="156" w:after="156"/>
      </w:pPr>
      <w:bookmarkStart w:id="61" w:name="_Toc177198437"/>
      <w:bookmarkStart w:id="62" w:name="_Toc177885899"/>
      <w:r>
        <w:rPr>
          <w:rFonts w:hint="eastAsia"/>
        </w:rPr>
        <w:t>回收</w:t>
      </w:r>
      <w:bookmarkEnd w:id="61"/>
      <w:bookmarkEnd w:id="62"/>
    </w:p>
    <w:p w14:paraId="4A511326">
      <w:pPr>
        <w:pStyle w:val="56"/>
        <w:ind w:firstLine="420"/>
      </w:pPr>
      <w:r>
        <w:rPr>
          <w:rFonts w:hint="eastAsia"/>
        </w:rPr>
        <w:t>宜根据客户需要提供单元化物流载具上门回收、回购及异地退租等服务，对于通过回收业务退回至运营网点的单元化物流载具，应及时进行数量、质量等方面验收，对单元化物流载具损坏及处理情况进行双方确认。</w:t>
      </w:r>
    </w:p>
    <w:p w14:paraId="31B1D315">
      <w:pPr>
        <w:pStyle w:val="105"/>
        <w:spacing w:before="156" w:after="156"/>
      </w:pPr>
      <w:bookmarkStart w:id="63" w:name="_Toc177885900"/>
      <w:bookmarkStart w:id="64" w:name="_Toc177198438"/>
      <w:r>
        <w:rPr>
          <w:rFonts w:hint="eastAsia"/>
        </w:rPr>
        <w:t>循环共用服务</w:t>
      </w:r>
      <w:bookmarkEnd w:id="63"/>
      <w:bookmarkEnd w:id="64"/>
    </w:p>
    <w:p w14:paraId="19A63054">
      <w:pPr>
        <w:pStyle w:val="56"/>
        <w:ind w:firstLine="420"/>
      </w:pPr>
      <w:r>
        <w:rPr>
          <w:rFonts w:hint="eastAsia"/>
        </w:rPr>
        <w:t>运营网点宜根据客户需要提供单元化物流载具在不同客户间的流转和结算服务，推动单元化物流载具循环共用。</w:t>
      </w:r>
    </w:p>
    <w:p w14:paraId="5340470A">
      <w:pPr>
        <w:pStyle w:val="105"/>
        <w:spacing w:before="156" w:after="156"/>
      </w:pPr>
      <w:bookmarkStart w:id="65" w:name="_Toc177198439"/>
      <w:bookmarkStart w:id="66" w:name="_Toc177885901"/>
      <w:r>
        <w:rPr>
          <w:rFonts w:hint="eastAsia"/>
        </w:rPr>
        <w:t>信息化服务</w:t>
      </w:r>
      <w:bookmarkEnd w:id="65"/>
      <w:bookmarkEnd w:id="66"/>
    </w:p>
    <w:p w14:paraId="06289BFD">
      <w:pPr>
        <w:pStyle w:val="56"/>
        <w:ind w:firstLine="420"/>
      </w:pPr>
      <w:r>
        <w:rPr>
          <w:rFonts w:hint="eastAsia"/>
        </w:rPr>
        <w:t>宜建立信息管理系统，记录客户服务、单元化物流载具流转情况等信息，为客户提供线上业务办理、信息查询、统计结算等服务。</w:t>
      </w:r>
    </w:p>
    <w:p w14:paraId="79846535">
      <w:pPr>
        <w:pStyle w:val="104"/>
        <w:spacing w:before="312" w:after="312"/>
      </w:pPr>
      <w:bookmarkStart w:id="67" w:name="_Toc177198440"/>
      <w:bookmarkStart w:id="68" w:name="_Toc177885902"/>
      <w:r>
        <w:rPr>
          <w:rFonts w:hint="eastAsia"/>
        </w:rPr>
        <w:t>服务流程</w:t>
      </w:r>
      <w:bookmarkEnd w:id="67"/>
      <w:bookmarkEnd w:id="68"/>
    </w:p>
    <w:p w14:paraId="2EA4671F">
      <w:pPr>
        <w:pStyle w:val="105"/>
        <w:spacing w:before="156" w:after="156"/>
      </w:pPr>
      <w:bookmarkStart w:id="69" w:name="_Toc177198441"/>
      <w:bookmarkStart w:id="70" w:name="_Toc177885903"/>
      <w:r>
        <w:rPr>
          <w:rFonts w:hint="eastAsia"/>
        </w:rPr>
        <w:t>接待洽谈</w:t>
      </w:r>
      <w:bookmarkEnd w:id="69"/>
      <w:bookmarkEnd w:id="70"/>
    </w:p>
    <w:p w14:paraId="3BBF0BE6">
      <w:pPr>
        <w:pStyle w:val="165"/>
      </w:pPr>
      <w:r>
        <w:rPr>
          <w:rFonts w:hint="eastAsia"/>
        </w:rPr>
        <w:t>客户进入运营网点时，服务人员应面带微笑、热情有礼，宜使用普通话。</w:t>
      </w:r>
    </w:p>
    <w:p w14:paraId="72C0D500">
      <w:pPr>
        <w:pStyle w:val="165"/>
      </w:pPr>
      <w:r>
        <w:rPr>
          <w:rFonts w:hint="eastAsia"/>
        </w:rPr>
        <w:t>服务人员应主动向客户介绍服务项目、收费标准等信息。</w:t>
      </w:r>
    </w:p>
    <w:p w14:paraId="31E04142">
      <w:pPr>
        <w:pStyle w:val="165"/>
      </w:pPr>
      <w:r>
        <w:rPr>
          <w:rFonts w:hint="eastAsia"/>
        </w:rPr>
        <w:t>同一时间客户较多时，服务人员应按照先后顺序有序接待。</w:t>
      </w:r>
    </w:p>
    <w:p w14:paraId="21EEE4F3">
      <w:pPr>
        <w:pStyle w:val="165"/>
      </w:pPr>
      <w:r>
        <w:rPr>
          <w:rFonts w:hint="eastAsia"/>
        </w:rPr>
        <w:t>服务人员应耐心倾听客户要求，了解客户服务需求，准确回答客户提出的问题。</w:t>
      </w:r>
    </w:p>
    <w:p w14:paraId="35D86697">
      <w:pPr>
        <w:pStyle w:val="165"/>
      </w:pPr>
      <w:r>
        <w:rPr>
          <w:rFonts w:hint="eastAsia"/>
        </w:rPr>
        <w:t>客户离开时，服务人员应主动询问意见和建议，提示带好随身物品，礼貌道别。</w:t>
      </w:r>
    </w:p>
    <w:p w14:paraId="310D7BD2">
      <w:pPr>
        <w:pStyle w:val="105"/>
        <w:spacing w:before="156" w:after="156"/>
      </w:pPr>
      <w:bookmarkStart w:id="71" w:name="_Toc177198442"/>
      <w:bookmarkStart w:id="72" w:name="_Toc177885904"/>
      <w:r>
        <w:rPr>
          <w:rFonts w:hint="eastAsia"/>
        </w:rPr>
        <w:t>签订合同</w:t>
      </w:r>
      <w:bookmarkEnd w:id="71"/>
      <w:bookmarkEnd w:id="72"/>
    </w:p>
    <w:p w14:paraId="098D58C6">
      <w:pPr>
        <w:pStyle w:val="165"/>
      </w:pPr>
      <w:r>
        <w:rPr>
          <w:rFonts w:hint="eastAsia"/>
        </w:rPr>
        <w:t>合同签订前，服务人员应将合同文本提供给客户，并应提醒客户阅读确认相关内容。对于合同中客户有质疑的条款，应向客户明确解释。</w:t>
      </w:r>
    </w:p>
    <w:p w14:paraId="74BDE988">
      <w:pPr>
        <w:pStyle w:val="165"/>
      </w:pPr>
      <w:r>
        <w:rPr>
          <w:rFonts w:hint="eastAsia"/>
        </w:rPr>
        <w:t>当客户明确选择服务项目且对合同内容无异议后，签订服务合同。</w:t>
      </w:r>
    </w:p>
    <w:p w14:paraId="41AB7684">
      <w:pPr>
        <w:pStyle w:val="105"/>
        <w:spacing w:before="156" w:after="156"/>
      </w:pPr>
      <w:bookmarkStart w:id="73" w:name="_Toc177885905"/>
      <w:bookmarkStart w:id="74" w:name="_Toc177198443"/>
      <w:r>
        <w:rPr>
          <w:rFonts w:hint="eastAsia"/>
        </w:rPr>
        <w:t>载具提供</w:t>
      </w:r>
      <w:bookmarkEnd w:id="73"/>
      <w:bookmarkEnd w:id="74"/>
    </w:p>
    <w:p w14:paraId="63419078">
      <w:pPr>
        <w:pStyle w:val="56"/>
        <w:ind w:firstLine="420"/>
      </w:pPr>
      <w:r>
        <w:rPr>
          <w:rFonts w:hint="eastAsia"/>
        </w:rPr>
        <w:t>应根据合同约定要求和客户订单，为客户提供相应的单元化物流载具服务，服务内容和要求见5.1～5.4。</w:t>
      </w:r>
    </w:p>
    <w:p w14:paraId="29F5729C">
      <w:pPr>
        <w:pStyle w:val="105"/>
        <w:spacing w:before="156" w:after="156"/>
      </w:pPr>
      <w:bookmarkStart w:id="75" w:name="_Toc177198444"/>
      <w:bookmarkStart w:id="76" w:name="_Toc177885906"/>
      <w:r>
        <w:rPr>
          <w:rFonts w:hint="eastAsia"/>
        </w:rPr>
        <w:t>费用结算</w:t>
      </w:r>
      <w:bookmarkEnd w:id="75"/>
      <w:bookmarkEnd w:id="76"/>
    </w:p>
    <w:p w14:paraId="36377B1C">
      <w:pPr>
        <w:pStyle w:val="56"/>
        <w:ind w:firstLine="420"/>
      </w:pPr>
      <w:r>
        <w:rPr>
          <w:rFonts w:hint="eastAsia"/>
        </w:rPr>
        <w:t>应根据客户服务内容进行收费结算，并按规定提供发票。</w:t>
      </w:r>
    </w:p>
    <w:p w14:paraId="22A5332E">
      <w:pPr>
        <w:pStyle w:val="104"/>
        <w:spacing w:before="312" w:after="312"/>
      </w:pPr>
      <w:bookmarkStart w:id="77" w:name="_Toc177198445"/>
      <w:bookmarkStart w:id="78" w:name="_Toc177885907"/>
      <w:r>
        <w:rPr>
          <w:rFonts w:hint="eastAsia"/>
        </w:rPr>
        <w:t>服务评价及改进</w:t>
      </w:r>
      <w:bookmarkEnd w:id="77"/>
      <w:bookmarkEnd w:id="78"/>
    </w:p>
    <w:p w14:paraId="5AB717A3">
      <w:pPr>
        <w:pStyle w:val="105"/>
        <w:spacing w:before="156" w:after="156"/>
      </w:pPr>
      <w:bookmarkStart w:id="79" w:name="_Toc177198446"/>
      <w:bookmarkStart w:id="80" w:name="_Toc177885908"/>
      <w:r>
        <w:rPr>
          <w:rFonts w:hint="eastAsia"/>
        </w:rPr>
        <w:t>投诉处理</w:t>
      </w:r>
      <w:bookmarkEnd w:id="79"/>
      <w:bookmarkEnd w:id="80"/>
    </w:p>
    <w:p w14:paraId="38BCEF77">
      <w:pPr>
        <w:pStyle w:val="165"/>
      </w:pPr>
      <w:r>
        <w:rPr>
          <w:rFonts w:hint="eastAsia"/>
        </w:rPr>
        <w:t>应建立客户投诉与反馈机制，提前向客户明示或告知投诉处理方法。</w:t>
      </w:r>
    </w:p>
    <w:p w14:paraId="499AD042">
      <w:pPr>
        <w:pStyle w:val="165"/>
      </w:pPr>
      <w:r>
        <w:rPr>
          <w:rFonts w:hint="eastAsia"/>
        </w:rPr>
        <w:t>接到客户投诉后，应及时安排专人受理，告知客户预计处理时间。</w:t>
      </w:r>
    </w:p>
    <w:p w14:paraId="403AF4F3">
      <w:pPr>
        <w:pStyle w:val="165"/>
      </w:pPr>
      <w:r>
        <w:rPr>
          <w:rFonts w:hint="eastAsia"/>
        </w:rPr>
        <w:t>及时调查与处理客户投诉，并向客户反馈投诉处理情况，响应时间不应超过48 h，与投诉人另有约定的除外。</w:t>
      </w:r>
    </w:p>
    <w:p w14:paraId="12EB09A3">
      <w:pPr>
        <w:pStyle w:val="165"/>
      </w:pPr>
      <w:r>
        <w:rPr>
          <w:rFonts w:hint="eastAsia"/>
        </w:rPr>
        <w:t>客户投诉处理办结后，应及时对客户进行回访。</w:t>
      </w:r>
    </w:p>
    <w:p w14:paraId="088593DE">
      <w:pPr>
        <w:pStyle w:val="165"/>
      </w:pPr>
      <w:r>
        <w:rPr>
          <w:rFonts w:hint="eastAsia"/>
        </w:rPr>
        <w:t>记录并妥善保管客户投诉处理的相关资料。</w:t>
      </w:r>
    </w:p>
    <w:p w14:paraId="7586F458">
      <w:pPr>
        <w:pStyle w:val="105"/>
        <w:spacing w:before="156" w:after="156"/>
      </w:pPr>
      <w:bookmarkStart w:id="81" w:name="_Toc177198447"/>
      <w:bookmarkStart w:id="82" w:name="_Toc177885909"/>
      <w:r>
        <w:rPr>
          <w:rFonts w:hint="eastAsia"/>
        </w:rPr>
        <w:t>服务评价</w:t>
      </w:r>
      <w:bookmarkEnd w:id="81"/>
      <w:bookmarkEnd w:id="82"/>
    </w:p>
    <w:p w14:paraId="0F02E91A">
      <w:pPr>
        <w:pStyle w:val="165"/>
      </w:pPr>
      <w:r>
        <w:rPr>
          <w:rFonts w:hint="eastAsia"/>
        </w:rPr>
        <w:t>建立健全客户服务管理制度及服务质量考评机制。</w:t>
      </w:r>
    </w:p>
    <w:p w14:paraId="3008A790">
      <w:pPr>
        <w:pStyle w:val="165"/>
      </w:pPr>
      <w:r>
        <w:rPr>
          <w:rFonts w:hint="eastAsia"/>
        </w:rPr>
        <w:t>定期向客户发放服务质量评价表（见附录A）进行服务满意度测评，测评原则和过程按照GB/T 19039的规定实施。</w:t>
      </w:r>
    </w:p>
    <w:p w14:paraId="485CCF2C">
      <w:pPr>
        <w:pStyle w:val="105"/>
        <w:spacing w:before="156" w:after="156"/>
      </w:pPr>
      <w:bookmarkStart w:id="83" w:name="_Toc177885910"/>
      <w:bookmarkStart w:id="84" w:name="_Toc177198448"/>
      <w:r>
        <w:rPr>
          <w:rFonts w:hint="eastAsia"/>
        </w:rPr>
        <w:t>服务改进</w:t>
      </w:r>
      <w:bookmarkEnd w:id="83"/>
      <w:bookmarkEnd w:id="84"/>
    </w:p>
    <w:p w14:paraId="64878024">
      <w:pPr>
        <w:pStyle w:val="56"/>
        <w:ind w:firstLine="420"/>
      </w:pPr>
      <w:r>
        <w:rPr>
          <w:rFonts w:hint="eastAsia"/>
        </w:rPr>
        <w:t>应建立持续改进机制，及时对客户投诉、相关方的反馈意见、服务评价结果等进行分析处理，制定并实施服务改进方案。</w:t>
      </w:r>
    </w:p>
    <w:p w14:paraId="590BF814">
      <w:pPr>
        <w:pStyle w:val="56"/>
        <w:ind w:firstLine="420"/>
        <w:sectPr>
          <w:pgSz w:w="11906" w:h="16838"/>
          <w:pgMar w:top="567" w:right="1134" w:bottom="1134" w:left="1134" w:header="1418" w:footer="1134" w:gutter="284"/>
          <w:pgNumType w:start="1"/>
          <w:cols w:space="425" w:num="1"/>
          <w:formProt w:val="0"/>
          <w:docGrid w:type="lines" w:linePitch="312" w:charSpace="0"/>
        </w:sectPr>
      </w:pPr>
    </w:p>
    <w:bookmarkEnd w:id="22"/>
    <w:p w14:paraId="079AFE05">
      <w:pPr>
        <w:pStyle w:val="198"/>
        <w:rPr>
          <w:vanish w:val="0"/>
        </w:rPr>
      </w:pPr>
      <w:bookmarkStart w:id="85" w:name="BookMark5"/>
    </w:p>
    <w:p w14:paraId="5B8CA5A6">
      <w:pPr>
        <w:pStyle w:val="199"/>
        <w:rPr>
          <w:vanish w:val="0"/>
        </w:rPr>
      </w:pPr>
    </w:p>
    <w:p w14:paraId="0A581790">
      <w:pPr>
        <w:pStyle w:val="76"/>
        <w:spacing w:before="78" w:after="156"/>
      </w:pPr>
      <w:r>
        <w:br w:type="textWrapping"/>
      </w:r>
      <w:bookmarkStart w:id="86" w:name="_Toc177885911"/>
      <w:bookmarkStart w:id="87" w:name="_Toc177198449"/>
      <w:r>
        <w:rPr>
          <w:rFonts w:hint="eastAsia"/>
        </w:rPr>
        <w:t>（资料性）</w:t>
      </w:r>
      <w:r>
        <w:br w:type="textWrapping"/>
      </w:r>
      <w:r>
        <w:rPr>
          <w:rFonts w:hint="eastAsia"/>
        </w:rPr>
        <w:t>服务质量评价表</w:t>
      </w:r>
      <w:bookmarkEnd w:id="86"/>
      <w:bookmarkEnd w:id="87"/>
    </w:p>
    <w:p w14:paraId="0B0C5160">
      <w:pPr>
        <w:pStyle w:val="56"/>
        <w:ind w:firstLine="420"/>
      </w:pPr>
      <w:r>
        <w:rPr>
          <w:rFonts w:hint="eastAsia"/>
        </w:rPr>
        <w:t>运营网点服务质量评价内容见表A.1。</w:t>
      </w:r>
    </w:p>
    <w:p w14:paraId="1D347E3B">
      <w:pPr>
        <w:pStyle w:val="77"/>
        <w:spacing w:before="156" w:after="156"/>
      </w:pPr>
      <w:r>
        <w:rPr>
          <w:rFonts w:hint="eastAsia"/>
        </w:rPr>
        <w:t>运营网点服务质量评价表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43"/>
        <w:gridCol w:w="1316"/>
        <w:gridCol w:w="1343"/>
        <w:gridCol w:w="1343"/>
        <w:gridCol w:w="1343"/>
        <w:gridCol w:w="1343"/>
        <w:gridCol w:w="1343"/>
      </w:tblGrid>
      <w:tr w14:paraId="3D874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659" w:type="dxa"/>
            <w:gridSpan w:val="2"/>
            <w:tcBorders>
              <w:top w:val="single" w:color="auto" w:sz="8" w:space="0"/>
              <w:bottom w:val="single" w:color="auto" w:sz="8" w:space="0"/>
            </w:tcBorders>
            <w:shd w:val="clear" w:color="auto" w:fill="auto"/>
            <w:vAlign w:val="center"/>
          </w:tcPr>
          <w:p w14:paraId="6FE37C7E">
            <w:pPr>
              <w:pStyle w:val="178"/>
            </w:pPr>
            <w:r>
              <w:rPr>
                <w:rFonts w:hint="eastAsia"/>
              </w:rPr>
              <w:t>评价项目</w:t>
            </w:r>
          </w:p>
        </w:tc>
        <w:tc>
          <w:tcPr>
            <w:tcW w:w="1343" w:type="dxa"/>
            <w:tcBorders>
              <w:top w:val="single" w:color="auto" w:sz="8" w:space="0"/>
              <w:bottom w:val="single" w:color="auto" w:sz="8" w:space="0"/>
            </w:tcBorders>
            <w:shd w:val="clear" w:color="auto" w:fill="auto"/>
            <w:vAlign w:val="center"/>
          </w:tcPr>
          <w:p w14:paraId="6A8A8090">
            <w:pPr>
              <w:pStyle w:val="178"/>
            </w:pPr>
            <w:r>
              <w:rPr>
                <w:rFonts w:hint="eastAsia"/>
              </w:rPr>
              <w:t>非常好</w:t>
            </w:r>
          </w:p>
        </w:tc>
        <w:tc>
          <w:tcPr>
            <w:tcW w:w="1343" w:type="dxa"/>
            <w:tcBorders>
              <w:top w:val="single" w:color="auto" w:sz="8" w:space="0"/>
              <w:bottom w:val="single" w:color="auto" w:sz="8" w:space="0"/>
            </w:tcBorders>
            <w:shd w:val="clear" w:color="auto" w:fill="auto"/>
            <w:vAlign w:val="center"/>
          </w:tcPr>
          <w:p w14:paraId="5E72F797">
            <w:pPr>
              <w:pStyle w:val="178"/>
            </w:pPr>
            <w:r>
              <w:rPr>
                <w:rFonts w:hint="eastAsia"/>
              </w:rPr>
              <w:t>好</w:t>
            </w:r>
          </w:p>
        </w:tc>
        <w:tc>
          <w:tcPr>
            <w:tcW w:w="1343" w:type="dxa"/>
            <w:tcBorders>
              <w:top w:val="single" w:color="auto" w:sz="8" w:space="0"/>
              <w:bottom w:val="single" w:color="auto" w:sz="8" w:space="0"/>
            </w:tcBorders>
            <w:shd w:val="clear" w:color="auto" w:fill="auto"/>
            <w:vAlign w:val="center"/>
          </w:tcPr>
          <w:p w14:paraId="7B914F8B">
            <w:pPr>
              <w:pStyle w:val="178"/>
            </w:pPr>
            <w:r>
              <w:rPr>
                <w:rFonts w:hint="eastAsia"/>
              </w:rPr>
              <w:t>一般</w:t>
            </w:r>
          </w:p>
        </w:tc>
        <w:tc>
          <w:tcPr>
            <w:tcW w:w="1343" w:type="dxa"/>
            <w:tcBorders>
              <w:top w:val="single" w:color="auto" w:sz="8" w:space="0"/>
              <w:bottom w:val="single" w:color="auto" w:sz="8" w:space="0"/>
            </w:tcBorders>
            <w:shd w:val="clear" w:color="auto" w:fill="auto"/>
            <w:vAlign w:val="center"/>
          </w:tcPr>
          <w:p w14:paraId="10A572B9">
            <w:pPr>
              <w:pStyle w:val="178"/>
            </w:pPr>
            <w:r>
              <w:rPr>
                <w:rFonts w:hint="eastAsia"/>
              </w:rPr>
              <w:t>差</w:t>
            </w:r>
          </w:p>
        </w:tc>
        <w:tc>
          <w:tcPr>
            <w:tcW w:w="1343" w:type="dxa"/>
            <w:tcBorders>
              <w:top w:val="single" w:color="auto" w:sz="8" w:space="0"/>
              <w:bottom w:val="single" w:color="auto" w:sz="8" w:space="0"/>
            </w:tcBorders>
            <w:shd w:val="clear" w:color="auto" w:fill="auto"/>
            <w:vAlign w:val="center"/>
          </w:tcPr>
          <w:p w14:paraId="362ED3FC">
            <w:pPr>
              <w:pStyle w:val="178"/>
            </w:pPr>
            <w:r>
              <w:rPr>
                <w:rFonts w:hint="eastAsia"/>
              </w:rPr>
              <w:t>非常差</w:t>
            </w:r>
          </w:p>
        </w:tc>
      </w:tr>
      <w:tr w14:paraId="6D6A1F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restart"/>
            <w:tcBorders>
              <w:top w:val="single" w:color="auto" w:sz="8" w:space="0"/>
            </w:tcBorders>
            <w:shd w:val="clear" w:color="auto" w:fill="auto"/>
            <w:vAlign w:val="center"/>
          </w:tcPr>
          <w:p w14:paraId="0AC46B37">
            <w:pPr>
              <w:pStyle w:val="178"/>
            </w:pPr>
            <w:r>
              <w:rPr>
                <w:rFonts w:hint="eastAsia"/>
              </w:rPr>
              <w:t>服务条件</w:t>
            </w:r>
          </w:p>
        </w:tc>
        <w:tc>
          <w:tcPr>
            <w:tcW w:w="1316" w:type="dxa"/>
            <w:tcBorders>
              <w:top w:val="single" w:color="auto" w:sz="8" w:space="0"/>
            </w:tcBorders>
            <w:shd w:val="clear" w:color="auto" w:fill="auto"/>
          </w:tcPr>
          <w:p w14:paraId="7F6CB78D">
            <w:pPr>
              <w:pStyle w:val="178"/>
            </w:pPr>
            <w:r>
              <w:rPr>
                <w:rFonts w:hint="eastAsia"/>
              </w:rPr>
              <w:t>服务条件</w:t>
            </w:r>
          </w:p>
        </w:tc>
        <w:tc>
          <w:tcPr>
            <w:tcW w:w="1343" w:type="dxa"/>
            <w:tcBorders>
              <w:top w:val="single" w:color="auto" w:sz="8" w:space="0"/>
            </w:tcBorders>
            <w:shd w:val="clear" w:color="auto" w:fill="auto"/>
            <w:vAlign w:val="center"/>
          </w:tcPr>
          <w:p w14:paraId="2C51DDB8">
            <w:pPr>
              <w:pStyle w:val="178"/>
            </w:pPr>
          </w:p>
        </w:tc>
        <w:tc>
          <w:tcPr>
            <w:tcW w:w="1343" w:type="dxa"/>
            <w:tcBorders>
              <w:top w:val="single" w:color="auto" w:sz="8" w:space="0"/>
            </w:tcBorders>
            <w:shd w:val="clear" w:color="auto" w:fill="auto"/>
            <w:vAlign w:val="center"/>
          </w:tcPr>
          <w:p w14:paraId="5BB3B349">
            <w:pPr>
              <w:pStyle w:val="178"/>
            </w:pPr>
          </w:p>
        </w:tc>
        <w:tc>
          <w:tcPr>
            <w:tcW w:w="1343" w:type="dxa"/>
            <w:tcBorders>
              <w:top w:val="single" w:color="auto" w:sz="8" w:space="0"/>
            </w:tcBorders>
            <w:shd w:val="clear" w:color="auto" w:fill="auto"/>
            <w:vAlign w:val="center"/>
          </w:tcPr>
          <w:p w14:paraId="17F1D063">
            <w:pPr>
              <w:pStyle w:val="178"/>
            </w:pPr>
          </w:p>
        </w:tc>
        <w:tc>
          <w:tcPr>
            <w:tcW w:w="1343" w:type="dxa"/>
            <w:tcBorders>
              <w:top w:val="single" w:color="auto" w:sz="8" w:space="0"/>
            </w:tcBorders>
            <w:shd w:val="clear" w:color="auto" w:fill="auto"/>
            <w:vAlign w:val="center"/>
          </w:tcPr>
          <w:p w14:paraId="32D429C7">
            <w:pPr>
              <w:pStyle w:val="178"/>
            </w:pPr>
          </w:p>
        </w:tc>
        <w:tc>
          <w:tcPr>
            <w:tcW w:w="1343" w:type="dxa"/>
            <w:tcBorders>
              <w:top w:val="single" w:color="auto" w:sz="8" w:space="0"/>
            </w:tcBorders>
            <w:shd w:val="clear" w:color="auto" w:fill="auto"/>
            <w:vAlign w:val="center"/>
          </w:tcPr>
          <w:p w14:paraId="10537988">
            <w:pPr>
              <w:pStyle w:val="178"/>
            </w:pPr>
          </w:p>
        </w:tc>
      </w:tr>
      <w:tr w14:paraId="5E5D7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1B514F03">
            <w:pPr>
              <w:pStyle w:val="178"/>
            </w:pPr>
          </w:p>
        </w:tc>
        <w:tc>
          <w:tcPr>
            <w:tcW w:w="1316" w:type="dxa"/>
            <w:shd w:val="clear" w:color="auto" w:fill="auto"/>
          </w:tcPr>
          <w:p w14:paraId="5C9B58E7">
            <w:pPr>
              <w:pStyle w:val="178"/>
            </w:pPr>
            <w:r>
              <w:rPr>
                <w:rFonts w:hint="eastAsia"/>
              </w:rPr>
              <w:t>服务环境</w:t>
            </w:r>
            <w:r>
              <w:rPr>
                <w:rFonts w:hint="eastAsia"/>
              </w:rPr>
              <w:tab/>
            </w:r>
          </w:p>
        </w:tc>
        <w:tc>
          <w:tcPr>
            <w:tcW w:w="1343" w:type="dxa"/>
            <w:shd w:val="clear" w:color="auto" w:fill="auto"/>
            <w:vAlign w:val="center"/>
          </w:tcPr>
          <w:p w14:paraId="1950F18C">
            <w:pPr>
              <w:pStyle w:val="178"/>
            </w:pPr>
          </w:p>
        </w:tc>
        <w:tc>
          <w:tcPr>
            <w:tcW w:w="1343" w:type="dxa"/>
            <w:shd w:val="clear" w:color="auto" w:fill="auto"/>
            <w:vAlign w:val="center"/>
          </w:tcPr>
          <w:p w14:paraId="514F37F6">
            <w:pPr>
              <w:pStyle w:val="178"/>
            </w:pPr>
          </w:p>
        </w:tc>
        <w:tc>
          <w:tcPr>
            <w:tcW w:w="1343" w:type="dxa"/>
            <w:shd w:val="clear" w:color="auto" w:fill="auto"/>
            <w:vAlign w:val="center"/>
          </w:tcPr>
          <w:p w14:paraId="6722C9BB">
            <w:pPr>
              <w:pStyle w:val="178"/>
            </w:pPr>
          </w:p>
        </w:tc>
        <w:tc>
          <w:tcPr>
            <w:tcW w:w="1343" w:type="dxa"/>
            <w:shd w:val="clear" w:color="auto" w:fill="auto"/>
            <w:vAlign w:val="center"/>
          </w:tcPr>
          <w:p w14:paraId="3CA20451">
            <w:pPr>
              <w:pStyle w:val="178"/>
            </w:pPr>
          </w:p>
        </w:tc>
        <w:tc>
          <w:tcPr>
            <w:tcW w:w="1343" w:type="dxa"/>
            <w:shd w:val="clear" w:color="auto" w:fill="auto"/>
            <w:vAlign w:val="center"/>
          </w:tcPr>
          <w:p w14:paraId="2E8C7B28">
            <w:pPr>
              <w:pStyle w:val="178"/>
            </w:pPr>
          </w:p>
        </w:tc>
      </w:tr>
      <w:tr w14:paraId="6079D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43C348D5">
            <w:pPr>
              <w:pStyle w:val="178"/>
            </w:pPr>
          </w:p>
        </w:tc>
        <w:tc>
          <w:tcPr>
            <w:tcW w:w="1316" w:type="dxa"/>
            <w:shd w:val="clear" w:color="auto" w:fill="auto"/>
          </w:tcPr>
          <w:p w14:paraId="166F46BA">
            <w:pPr>
              <w:pStyle w:val="178"/>
            </w:pPr>
            <w:r>
              <w:rPr>
                <w:rFonts w:hint="eastAsia"/>
              </w:rPr>
              <w:t>服务设施设备</w:t>
            </w:r>
          </w:p>
        </w:tc>
        <w:tc>
          <w:tcPr>
            <w:tcW w:w="1343" w:type="dxa"/>
            <w:shd w:val="clear" w:color="auto" w:fill="auto"/>
            <w:vAlign w:val="center"/>
          </w:tcPr>
          <w:p w14:paraId="35CDECB2">
            <w:pPr>
              <w:pStyle w:val="178"/>
            </w:pPr>
          </w:p>
        </w:tc>
        <w:tc>
          <w:tcPr>
            <w:tcW w:w="1343" w:type="dxa"/>
            <w:shd w:val="clear" w:color="auto" w:fill="auto"/>
            <w:vAlign w:val="center"/>
          </w:tcPr>
          <w:p w14:paraId="37FE2FEC">
            <w:pPr>
              <w:pStyle w:val="178"/>
            </w:pPr>
          </w:p>
        </w:tc>
        <w:tc>
          <w:tcPr>
            <w:tcW w:w="1343" w:type="dxa"/>
            <w:shd w:val="clear" w:color="auto" w:fill="auto"/>
            <w:vAlign w:val="center"/>
          </w:tcPr>
          <w:p w14:paraId="2D81409C">
            <w:pPr>
              <w:pStyle w:val="178"/>
            </w:pPr>
          </w:p>
        </w:tc>
        <w:tc>
          <w:tcPr>
            <w:tcW w:w="1343" w:type="dxa"/>
            <w:shd w:val="clear" w:color="auto" w:fill="auto"/>
            <w:vAlign w:val="center"/>
          </w:tcPr>
          <w:p w14:paraId="52986C46">
            <w:pPr>
              <w:pStyle w:val="178"/>
            </w:pPr>
          </w:p>
        </w:tc>
        <w:tc>
          <w:tcPr>
            <w:tcW w:w="1343" w:type="dxa"/>
            <w:shd w:val="clear" w:color="auto" w:fill="auto"/>
            <w:vAlign w:val="center"/>
          </w:tcPr>
          <w:p w14:paraId="3C7E9DD6">
            <w:pPr>
              <w:pStyle w:val="178"/>
            </w:pPr>
          </w:p>
        </w:tc>
      </w:tr>
      <w:tr w14:paraId="3F0F2C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3E3371A2">
            <w:pPr>
              <w:pStyle w:val="178"/>
            </w:pPr>
          </w:p>
        </w:tc>
        <w:tc>
          <w:tcPr>
            <w:tcW w:w="1316" w:type="dxa"/>
            <w:shd w:val="clear" w:color="auto" w:fill="auto"/>
          </w:tcPr>
          <w:p w14:paraId="7EA6C423">
            <w:pPr>
              <w:pStyle w:val="178"/>
            </w:pPr>
            <w:r>
              <w:rPr>
                <w:rFonts w:hint="eastAsia"/>
              </w:rPr>
              <w:t>服务人员</w:t>
            </w:r>
          </w:p>
        </w:tc>
        <w:tc>
          <w:tcPr>
            <w:tcW w:w="1343" w:type="dxa"/>
            <w:shd w:val="clear" w:color="auto" w:fill="auto"/>
            <w:vAlign w:val="center"/>
          </w:tcPr>
          <w:p w14:paraId="569B3089">
            <w:pPr>
              <w:pStyle w:val="178"/>
            </w:pPr>
          </w:p>
        </w:tc>
        <w:tc>
          <w:tcPr>
            <w:tcW w:w="1343" w:type="dxa"/>
            <w:shd w:val="clear" w:color="auto" w:fill="auto"/>
            <w:vAlign w:val="center"/>
          </w:tcPr>
          <w:p w14:paraId="1AA1EC10">
            <w:pPr>
              <w:pStyle w:val="178"/>
            </w:pPr>
          </w:p>
        </w:tc>
        <w:tc>
          <w:tcPr>
            <w:tcW w:w="1343" w:type="dxa"/>
            <w:shd w:val="clear" w:color="auto" w:fill="auto"/>
            <w:vAlign w:val="center"/>
          </w:tcPr>
          <w:p w14:paraId="50E9D1B1">
            <w:pPr>
              <w:pStyle w:val="178"/>
            </w:pPr>
          </w:p>
        </w:tc>
        <w:tc>
          <w:tcPr>
            <w:tcW w:w="1343" w:type="dxa"/>
            <w:shd w:val="clear" w:color="auto" w:fill="auto"/>
            <w:vAlign w:val="center"/>
          </w:tcPr>
          <w:p w14:paraId="351E4FC3">
            <w:pPr>
              <w:pStyle w:val="178"/>
            </w:pPr>
          </w:p>
        </w:tc>
        <w:tc>
          <w:tcPr>
            <w:tcW w:w="1343" w:type="dxa"/>
            <w:shd w:val="clear" w:color="auto" w:fill="auto"/>
            <w:vAlign w:val="center"/>
          </w:tcPr>
          <w:p w14:paraId="66E6CB39">
            <w:pPr>
              <w:pStyle w:val="178"/>
            </w:pPr>
          </w:p>
        </w:tc>
      </w:tr>
      <w:tr w14:paraId="32505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restart"/>
            <w:shd w:val="clear" w:color="auto" w:fill="auto"/>
            <w:vAlign w:val="center"/>
          </w:tcPr>
          <w:p w14:paraId="4423D466">
            <w:pPr>
              <w:pStyle w:val="178"/>
            </w:pPr>
            <w:r>
              <w:rPr>
                <w:rFonts w:hint="eastAsia"/>
              </w:rPr>
              <w:t>服务内容</w:t>
            </w:r>
          </w:p>
        </w:tc>
        <w:tc>
          <w:tcPr>
            <w:tcW w:w="1316" w:type="dxa"/>
            <w:shd w:val="clear" w:color="auto" w:fill="auto"/>
          </w:tcPr>
          <w:p w14:paraId="718314DF">
            <w:pPr>
              <w:pStyle w:val="178"/>
            </w:pPr>
            <w:r>
              <w:rPr>
                <w:rFonts w:hint="eastAsia"/>
              </w:rPr>
              <w:t>租赁与销售</w:t>
            </w:r>
          </w:p>
        </w:tc>
        <w:tc>
          <w:tcPr>
            <w:tcW w:w="1343" w:type="dxa"/>
            <w:shd w:val="clear" w:color="auto" w:fill="auto"/>
            <w:vAlign w:val="center"/>
          </w:tcPr>
          <w:p w14:paraId="2D983701">
            <w:pPr>
              <w:pStyle w:val="178"/>
            </w:pPr>
          </w:p>
        </w:tc>
        <w:tc>
          <w:tcPr>
            <w:tcW w:w="1343" w:type="dxa"/>
            <w:shd w:val="clear" w:color="auto" w:fill="auto"/>
            <w:vAlign w:val="center"/>
          </w:tcPr>
          <w:p w14:paraId="4382F50F">
            <w:pPr>
              <w:pStyle w:val="178"/>
            </w:pPr>
          </w:p>
        </w:tc>
        <w:tc>
          <w:tcPr>
            <w:tcW w:w="1343" w:type="dxa"/>
            <w:shd w:val="clear" w:color="auto" w:fill="auto"/>
            <w:vAlign w:val="center"/>
          </w:tcPr>
          <w:p w14:paraId="1200162C">
            <w:pPr>
              <w:pStyle w:val="178"/>
            </w:pPr>
          </w:p>
        </w:tc>
        <w:tc>
          <w:tcPr>
            <w:tcW w:w="1343" w:type="dxa"/>
            <w:shd w:val="clear" w:color="auto" w:fill="auto"/>
            <w:vAlign w:val="center"/>
          </w:tcPr>
          <w:p w14:paraId="285F41AB">
            <w:pPr>
              <w:pStyle w:val="178"/>
            </w:pPr>
          </w:p>
        </w:tc>
        <w:tc>
          <w:tcPr>
            <w:tcW w:w="1343" w:type="dxa"/>
            <w:shd w:val="clear" w:color="auto" w:fill="auto"/>
            <w:vAlign w:val="center"/>
          </w:tcPr>
          <w:p w14:paraId="696712FD">
            <w:pPr>
              <w:pStyle w:val="178"/>
            </w:pPr>
          </w:p>
        </w:tc>
      </w:tr>
      <w:tr w14:paraId="6D8A3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4EAF45D1">
            <w:pPr>
              <w:pStyle w:val="178"/>
            </w:pPr>
          </w:p>
        </w:tc>
        <w:tc>
          <w:tcPr>
            <w:tcW w:w="1316" w:type="dxa"/>
            <w:shd w:val="clear" w:color="auto" w:fill="auto"/>
          </w:tcPr>
          <w:p w14:paraId="2F0FD37D">
            <w:pPr>
              <w:pStyle w:val="178"/>
            </w:pPr>
            <w:r>
              <w:rPr>
                <w:rFonts w:hint="eastAsia"/>
              </w:rPr>
              <w:t>回收服务</w:t>
            </w:r>
            <w:r>
              <w:rPr>
                <w:rFonts w:hint="eastAsia"/>
              </w:rPr>
              <w:tab/>
            </w:r>
          </w:p>
        </w:tc>
        <w:tc>
          <w:tcPr>
            <w:tcW w:w="1343" w:type="dxa"/>
            <w:shd w:val="clear" w:color="auto" w:fill="auto"/>
            <w:vAlign w:val="center"/>
          </w:tcPr>
          <w:p w14:paraId="351643A9">
            <w:pPr>
              <w:pStyle w:val="178"/>
            </w:pPr>
          </w:p>
        </w:tc>
        <w:tc>
          <w:tcPr>
            <w:tcW w:w="1343" w:type="dxa"/>
            <w:shd w:val="clear" w:color="auto" w:fill="auto"/>
            <w:vAlign w:val="center"/>
          </w:tcPr>
          <w:p w14:paraId="322E70FA">
            <w:pPr>
              <w:pStyle w:val="178"/>
            </w:pPr>
          </w:p>
        </w:tc>
        <w:tc>
          <w:tcPr>
            <w:tcW w:w="1343" w:type="dxa"/>
            <w:shd w:val="clear" w:color="auto" w:fill="auto"/>
            <w:vAlign w:val="center"/>
          </w:tcPr>
          <w:p w14:paraId="3AB104B5">
            <w:pPr>
              <w:pStyle w:val="178"/>
            </w:pPr>
          </w:p>
        </w:tc>
        <w:tc>
          <w:tcPr>
            <w:tcW w:w="1343" w:type="dxa"/>
            <w:shd w:val="clear" w:color="auto" w:fill="auto"/>
            <w:vAlign w:val="center"/>
          </w:tcPr>
          <w:p w14:paraId="340E5E15">
            <w:pPr>
              <w:pStyle w:val="178"/>
            </w:pPr>
          </w:p>
        </w:tc>
        <w:tc>
          <w:tcPr>
            <w:tcW w:w="1343" w:type="dxa"/>
            <w:shd w:val="clear" w:color="auto" w:fill="auto"/>
            <w:vAlign w:val="center"/>
          </w:tcPr>
          <w:p w14:paraId="263C2CAA">
            <w:pPr>
              <w:pStyle w:val="178"/>
            </w:pPr>
          </w:p>
        </w:tc>
      </w:tr>
      <w:tr w14:paraId="3375C4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69A74598">
            <w:pPr>
              <w:pStyle w:val="178"/>
            </w:pPr>
          </w:p>
        </w:tc>
        <w:tc>
          <w:tcPr>
            <w:tcW w:w="1316" w:type="dxa"/>
            <w:shd w:val="clear" w:color="auto" w:fill="auto"/>
          </w:tcPr>
          <w:p w14:paraId="3055094D">
            <w:pPr>
              <w:pStyle w:val="178"/>
            </w:pPr>
            <w:r>
              <w:rPr>
                <w:rFonts w:hint="eastAsia"/>
              </w:rPr>
              <w:t>循环共用服务</w:t>
            </w:r>
          </w:p>
        </w:tc>
        <w:tc>
          <w:tcPr>
            <w:tcW w:w="1343" w:type="dxa"/>
            <w:shd w:val="clear" w:color="auto" w:fill="auto"/>
            <w:vAlign w:val="center"/>
          </w:tcPr>
          <w:p w14:paraId="5125CA7C">
            <w:pPr>
              <w:pStyle w:val="178"/>
            </w:pPr>
          </w:p>
        </w:tc>
        <w:tc>
          <w:tcPr>
            <w:tcW w:w="1343" w:type="dxa"/>
            <w:shd w:val="clear" w:color="auto" w:fill="auto"/>
            <w:vAlign w:val="center"/>
          </w:tcPr>
          <w:p w14:paraId="31D5D0F6">
            <w:pPr>
              <w:pStyle w:val="178"/>
            </w:pPr>
          </w:p>
        </w:tc>
        <w:tc>
          <w:tcPr>
            <w:tcW w:w="1343" w:type="dxa"/>
            <w:shd w:val="clear" w:color="auto" w:fill="auto"/>
            <w:vAlign w:val="center"/>
          </w:tcPr>
          <w:p w14:paraId="72BE4601">
            <w:pPr>
              <w:pStyle w:val="178"/>
            </w:pPr>
          </w:p>
        </w:tc>
        <w:tc>
          <w:tcPr>
            <w:tcW w:w="1343" w:type="dxa"/>
            <w:shd w:val="clear" w:color="auto" w:fill="auto"/>
            <w:vAlign w:val="center"/>
          </w:tcPr>
          <w:p w14:paraId="08909000">
            <w:pPr>
              <w:pStyle w:val="178"/>
            </w:pPr>
          </w:p>
        </w:tc>
        <w:tc>
          <w:tcPr>
            <w:tcW w:w="1343" w:type="dxa"/>
            <w:shd w:val="clear" w:color="auto" w:fill="auto"/>
            <w:vAlign w:val="center"/>
          </w:tcPr>
          <w:p w14:paraId="2CF0F863">
            <w:pPr>
              <w:pStyle w:val="178"/>
            </w:pPr>
          </w:p>
        </w:tc>
      </w:tr>
      <w:tr w14:paraId="7244E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47F221D8">
            <w:pPr>
              <w:pStyle w:val="178"/>
            </w:pPr>
          </w:p>
        </w:tc>
        <w:tc>
          <w:tcPr>
            <w:tcW w:w="1316" w:type="dxa"/>
            <w:shd w:val="clear" w:color="auto" w:fill="auto"/>
          </w:tcPr>
          <w:p w14:paraId="003A86BC">
            <w:pPr>
              <w:pStyle w:val="178"/>
            </w:pPr>
            <w:r>
              <w:rPr>
                <w:rFonts w:hint="eastAsia"/>
              </w:rPr>
              <w:t>信息化服务</w:t>
            </w:r>
          </w:p>
        </w:tc>
        <w:tc>
          <w:tcPr>
            <w:tcW w:w="1343" w:type="dxa"/>
            <w:shd w:val="clear" w:color="auto" w:fill="auto"/>
            <w:vAlign w:val="center"/>
          </w:tcPr>
          <w:p w14:paraId="2F093EFA">
            <w:pPr>
              <w:pStyle w:val="178"/>
            </w:pPr>
          </w:p>
        </w:tc>
        <w:tc>
          <w:tcPr>
            <w:tcW w:w="1343" w:type="dxa"/>
            <w:shd w:val="clear" w:color="auto" w:fill="auto"/>
            <w:vAlign w:val="center"/>
          </w:tcPr>
          <w:p w14:paraId="10C1B8B1">
            <w:pPr>
              <w:pStyle w:val="178"/>
            </w:pPr>
          </w:p>
        </w:tc>
        <w:tc>
          <w:tcPr>
            <w:tcW w:w="1343" w:type="dxa"/>
            <w:shd w:val="clear" w:color="auto" w:fill="auto"/>
            <w:vAlign w:val="center"/>
          </w:tcPr>
          <w:p w14:paraId="72D716CB">
            <w:pPr>
              <w:pStyle w:val="178"/>
            </w:pPr>
          </w:p>
        </w:tc>
        <w:tc>
          <w:tcPr>
            <w:tcW w:w="1343" w:type="dxa"/>
            <w:shd w:val="clear" w:color="auto" w:fill="auto"/>
            <w:vAlign w:val="center"/>
          </w:tcPr>
          <w:p w14:paraId="4092684D">
            <w:pPr>
              <w:pStyle w:val="178"/>
            </w:pPr>
          </w:p>
        </w:tc>
        <w:tc>
          <w:tcPr>
            <w:tcW w:w="1343" w:type="dxa"/>
            <w:shd w:val="clear" w:color="auto" w:fill="auto"/>
            <w:vAlign w:val="center"/>
          </w:tcPr>
          <w:p w14:paraId="4BB823DE">
            <w:pPr>
              <w:pStyle w:val="178"/>
            </w:pPr>
          </w:p>
        </w:tc>
      </w:tr>
      <w:tr w14:paraId="0F14E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restart"/>
            <w:shd w:val="clear" w:color="auto" w:fill="auto"/>
            <w:vAlign w:val="center"/>
          </w:tcPr>
          <w:p w14:paraId="58CFAAC6">
            <w:pPr>
              <w:pStyle w:val="178"/>
            </w:pPr>
            <w:r>
              <w:rPr>
                <w:rFonts w:hint="eastAsia"/>
              </w:rPr>
              <w:t>服务表现</w:t>
            </w:r>
          </w:p>
        </w:tc>
        <w:tc>
          <w:tcPr>
            <w:tcW w:w="1316" w:type="dxa"/>
            <w:shd w:val="clear" w:color="auto" w:fill="auto"/>
          </w:tcPr>
          <w:p w14:paraId="65E7E325">
            <w:pPr>
              <w:pStyle w:val="178"/>
            </w:pPr>
            <w:r>
              <w:rPr>
                <w:rFonts w:hint="eastAsia"/>
              </w:rPr>
              <w:t>服务态度</w:t>
            </w:r>
          </w:p>
        </w:tc>
        <w:tc>
          <w:tcPr>
            <w:tcW w:w="1343" w:type="dxa"/>
            <w:shd w:val="clear" w:color="auto" w:fill="auto"/>
            <w:vAlign w:val="center"/>
          </w:tcPr>
          <w:p w14:paraId="31D7613F">
            <w:pPr>
              <w:pStyle w:val="178"/>
            </w:pPr>
          </w:p>
        </w:tc>
        <w:tc>
          <w:tcPr>
            <w:tcW w:w="1343" w:type="dxa"/>
            <w:shd w:val="clear" w:color="auto" w:fill="auto"/>
            <w:vAlign w:val="center"/>
          </w:tcPr>
          <w:p w14:paraId="2EBA7645">
            <w:pPr>
              <w:pStyle w:val="178"/>
            </w:pPr>
          </w:p>
        </w:tc>
        <w:tc>
          <w:tcPr>
            <w:tcW w:w="1343" w:type="dxa"/>
            <w:shd w:val="clear" w:color="auto" w:fill="auto"/>
            <w:vAlign w:val="center"/>
          </w:tcPr>
          <w:p w14:paraId="4257FA60">
            <w:pPr>
              <w:pStyle w:val="178"/>
            </w:pPr>
          </w:p>
        </w:tc>
        <w:tc>
          <w:tcPr>
            <w:tcW w:w="1343" w:type="dxa"/>
            <w:shd w:val="clear" w:color="auto" w:fill="auto"/>
            <w:vAlign w:val="center"/>
          </w:tcPr>
          <w:p w14:paraId="442D0F63">
            <w:pPr>
              <w:pStyle w:val="178"/>
            </w:pPr>
          </w:p>
        </w:tc>
        <w:tc>
          <w:tcPr>
            <w:tcW w:w="1343" w:type="dxa"/>
            <w:shd w:val="clear" w:color="auto" w:fill="auto"/>
            <w:vAlign w:val="center"/>
          </w:tcPr>
          <w:p w14:paraId="0FB432FE">
            <w:pPr>
              <w:pStyle w:val="178"/>
            </w:pPr>
          </w:p>
        </w:tc>
      </w:tr>
      <w:tr w14:paraId="675286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31114F00">
            <w:pPr>
              <w:pStyle w:val="178"/>
            </w:pPr>
          </w:p>
        </w:tc>
        <w:tc>
          <w:tcPr>
            <w:tcW w:w="1316" w:type="dxa"/>
            <w:shd w:val="clear" w:color="auto" w:fill="auto"/>
          </w:tcPr>
          <w:p w14:paraId="42ED33F8">
            <w:pPr>
              <w:pStyle w:val="178"/>
            </w:pPr>
            <w:r>
              <w:rPr>
                <w:rFonts w:hint="eastAsia"/>
              </w:rPr>
              <w:t>服务响应度</w:t>
            </w:r>
          </w:p>
        </w:tc>
        <w:tc>
          <w:tcPr>
            <w:tcW w:w="1343" w:type="dxa"/>
            <w:shd w:val="clear" w:color="auto" w:fill="auto"/>
            <w:vAlign w:val="center"/>
          </w:tcPr>
          <w:p w14:paraId="0010856D">
            <w:pPr>
              <w:pStyle w:val="178"/>
            </w:pPr>
          </w:p>
        </w:tc>
        <w:tc>
          <w:tcPr>
            <w:tcW w:w="1343" w:type="dxa"/>
            <w:shd w:val="clear" w:color="auto" w:fill="auto"/>
            <w:vAlign w:val="center"/>
          </w:tcPr>
          <w:p w14:paraId="14DB5295">
            <w:pPr>
              <w:pStyle w:val="178"/>
            </w:pPr>
          </w:p>
        </w:tc>
        <w:tc>
          <w:tcPr>
            <w:tcW w:w="1343" w:type="dxa"/>
            <w:shd w:val="clear" w:color="auto" w:fill="auto"/>
            <w:vAlign w:val="center"/>
          </w:tcPr>
          <w:p w14:paraId="3CFBE982">
            <w:pPr>
              <w:pStyle w:val="178"/>
            </w:pPr>
          </w:p>
        </w:tc>
        <w:tc>
          <w:tcPr>
            <w:tcW w:w="1343" w:type="dxa"/>
            <w:shd w:val="clear" w:color="auto" w:fill="auto"/>
            <w:vAlign w:val="center"/>
          </w:tcPr>
          <w:p w14:paraId="2739FD62">
            <w:pPr>
              <w:pStyle w:val="178"/>
            </w:pPr>
          </w:p>
        </w:tc>
        <w:tc>
          <w:tcPr>
            <w:tcW w:w="1343" w:type="dxa"/>
            <w:shd w:val="clear" w:color="auto" w:fill="auto"/>
            <w:vAlign w:val="center"/>
          </w:tcPr>
          <w:p w14:paraId="76BA621A">
            <w:pPr>
              <w:pStyle w:val="178"/>
            </w:pPr>
          </w:p>
        </w:tc>
      </w:tr>
      <w:tr w14:paraId="23096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640EA86E">
            <w:pPr>
              <w:pStyle w:val="178"/>
            </w:pPr>
          </w:p>
        </w:tc>
        <w:tc>
          <w:tcPr>
            <w:tcW w:w="1316" w:type="dxa"/>
            <w:shd w:val="clear" w:color="auto" w:fill="auto"/>
          </w:tcPr>
          <w:p w14:paraId="20306A51">
            <w:pPr>
              <w:pStyle w:val="178"/>
            </w:pPr>
            <w:r>
              <w:rPr>
                <w:rFonts w:hint="eastAsia"/>
              </w:rPr>
              <w:t>异常处理</w:t>
            </w:r>
          </w:p>
        </w:tc>
        <w:tc>
          <w:tcPr>
            <w:tcW w:w="1343" w:type="dxa"/>
            <w:shd w:val="clear" w:color="auto" w:fill="auto"/>
            <w:vAlign w:val="center"/>
          </w:tcPr>
          <w:p w14:paraId="2160739B">
            <w:pPr>
              <w:pStyle w:val="178"/>
            </w:pPr>
          </w:p>
        </w:tc>
        <w:tc>
          <w:tcPr>
            <w:tcW w:w="1343" w:type="dxa"/>
            <w:shd w:val="clear" w:color="auto" w:fill="auto"/>
            <w:vAlign w:val="center"/>
          </w:tcPr>
          <w:p w14:paraId="0C3FCD84">
            <w:pPr>
              <w:pStyle w:val="178"/>
            </w:pPr>
          </w:p>
        </w:tc>
        <w:tc>
          <w:tcPr>
            <w:tcW w:w="1343" w:type="dxa"/>
            <w:shd w:val="clear" w:color="auto" w:fill="auto"/>
            <w:vAlign w:val="center"/>
          </w:tcPr>
          <w:p w14:paraId="06BBEA05">
            <w:pPr>
              <w:pStyle w:val="178"/>
            </w:pPr>
          </w:p>
        </w:tc>
        <w:tc>
          <w:tcPr>
            <w:tcW w:w="1343" w:type="dxa"/>
            <w:shd w:val="clear" w:color="auto" w:fill="auto"/>
            <w:vAlign w:val="center"/>
          </w:tcPr>
          <w:p w14:paraId="720D639B">
            <w:pPr>
              <w:pStyle w:val="178"/>
            </w:pPr>
          </w:p>
        </w:tc>
        <w:tc>
          <w:tcPr>
            <w:tcW w:w="1343" w:type="dxa"/>
            <w:shd w:val="clear" w:color="auto" w:fill="auto"/>
            <w:vAlign w:val="center"/>
          </w:tcPr>
          <w:p w14:paraId="06B32E71">
            <w:pPr>
              <w:pStyle w:val="178"/>
            </w:pPr>
          </w:p>
        </w:tc>
      </w:tr>
      <w:tr w14:paraId="194CF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43" w:type="dxa"/>
            <w:vMerge w:val="continue"/>
            <w:shd w:val="clear" w:color="auto" w:fill="auto"/>
            <w:vAlign w:val="center"/>
          </w:tcPr>
          <w:p w14:paraId="3A8FEDF4">
            <w:pPr>
              <w:pStyle w:val="178"/>
            </w:pPr>
          </w:p>
        </w:tc>
        <w:tc>
          <w:tcPr>
            <w:tcW w:w="1316" w:type="dxa"/>
            <w:shd w:val="clear" w:color="auto" w:fill="auto"/>
          </w:tcPr>
          <w:p w14:paraId="41F89125">
            <w:pPr>
              <w:pStyle w:val="178"/>
            </w:pPr>
            <w:r>
              <w:rPr>
                <w:rFonts w:hint="eastAsia"/>
              </w:rPr>
              <w:t>投诉处理</w:t>
            </w:r>
          </w:p>
        </w:tc>
        <w:tc>
          <w:tcPr>
            <w:tcW w:w="1343" w:type="dxa"/>
            <w:shd w:val="clear" w:color="auto" w:fill="auto"/>
            <w:vAlign w:val="center"/>
          </w:tcPr>
          <w:p w14:paraId="3EA886A1">
            <w:pPr>
              <w:pStyle w:val="178"/>
            </w:pPr>
          </w:p>
        </w:tc>
        <w:tc>
          <w:tcPr>
            <w:tcW w:w="1343" w:type="dxa"/>
            <w:shd w:val="clear" w:color="auto" w:fill="auto"/>
            <w:vAlign w:val="center"/>
          </w:tcPr>
          <w:p w14:paraId="624191EC">
            <w:pPr>
              <w:pStyle w:val="178"/>
            </w:pPr>
          </w:p>
        </w:tc>
        <w:tc>
          <w:tcPr>
            <w:tcW w:w="1343" w:type="dxa"/>
            <w:shd w:val="clear" w:color="auto" w:fill="auto"/>
            <w:vAlign w:val="center"/>
          </w:tcPr>
          <w:p w14:paraId="0887F6DC">
            <w:pPr>
              <w:pStyle w:val="178"/>
            </w:pPr>
          </w:p>
        </w:tc>
        <w:tc>
          <w:tcPr>
            <w:tcW w:w="1343" w:type="dxa"/>
            <w:shd w:val="clear" w:color="auto" w:fill="auto"/>
            <w:vAlign w:val="center"/>
          </w:tcPr>
          <w:p w14:paraId="63160D84">
            <w:pPr>
              <w:pStyle w:val="178"/>
            </w:pPr>
          </w:p>
        </w:tc>
        <w:tc>
          <w:tcPr>
            <w:tcW w:w="1343" w:type="dxa"/>
            <w:shd w:val="clear" w:color="auto" w:fill="auto"/>
            <w:vAlign w:val="center"/>
          </w:tcPr>
          <w:p w14:paraId="6011789D">
            <w:pPr>
              <w:pStyle w:val="178"/>
            </w:pPr>
          </w:p>
        </w:tc>
      </w:tr>
      <w:tr w14:paraId="039069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7"/>
            <w:tcBorders>
              <w:bottom w:val="single" w:color="auto" w:sz="8" w:space="0"/>
            </w:tcBorders>
            <w:shd w:val="clear" w:color="auto" w:fill="auto"/>
          </w:tcPr>
          <w:p w14:paraId="47392D96">
            <w:pPr>
              <w:pStyle w:val="178"/>
              <w:ind w:firstLine="180" w:firstLineChars="100"/>
              <w:jc w:val="both"/>
            </w:pPr>
            <w:r>
              <w:rPr>
                <w:rFonts w:hint="eastAsia"/>
              </w:rPr>
              <w:t>意见和建议：</w:t>
            </w:r>
          </w:p>
          <w:p w14:paraId="42E9C43E">
            <w:pPr>
              <w:pStyle w:val="178"/>
              <w:jc w:val="both"/>
            </w:pPr>
          </w:p>
          <w:p w14:paraId="31401C74">
            <w:pPr>
              <w:pStyle w:val="178"/>
            </w:pPr>
            <w:r>
              <w:rPr>
                <w:rFonts w:hint="eastAsia"/>
              </w:rPr>
              <w:t xml:space="preserve">                                            评价单位：              填写时间：</w:t>
            </w:r>
          </w:p>
        </w:tc>
      </w:tr>
    </w:tbl>
    <w:p w14:paraId="5D7EE24C">
      <w:pPr>
        <w:pStyle w:val="56"/>
        <w:ind w:firstLine="420"/>
      </w:pPr>
    </w:p>
    <w:p w14:paraId="2B2BECBA">
      <w:pPr>
        <w:pStyle w:val="56"/>
        <w:ind w:firstLine="420"/>
      </w:pPr>
    </w:p>
    <w:p w14:paraId="782E9D8F">
      <w:pPr>
        <w:pStyle w:val="56"/>
        <w:ind w:firstLine="420"/>
      </w:pPr>
    </w:p>
    <w:bookmarkEnd w:id="85"/>
    <w:p w14:paraId="2C3BCBF3">
      <w:pPr>
        <w:pStyle w:val="56"/>
        <w:ind w:firstLine="420"/>
        <w:sectPr>
          <w:pgSz w:w="11906" w:h="16838"/>
          <w:pgMar w:top="567" w:right="1134" w:bottom="1134" w:left="1134" w:header="1418" w:footer="1134" w:gutter="284"/>
          <w:cols w:space="425" w:num="1"/>
          <w:formProt w:val="0"/>
          <w:docGrid w:type="lines" w:linePitch="312" w:charSpace="0"/>
        </w:sectPr>
      </w:pPr>
      <w:bookmarkStart w:id="88" w:name="BookMark6"/>
    </w:p>
    <w:p w14:paraId="601866E7">
      <w:pPr>
        <w:pStyle w:val="63"/>
        <w:spacing w:before="124" w:after="156"/>
      </w:pPr>
      <w:bookmarkStart w:id="89" w:name="_Toc177198450"/>
      <w:bookmarkStart w:id="90" w:name="_Toc177885912"/>
      <w:r>
        <w:rPr>
          <w:rFonts w:hint="eastAsia"/>
          <w:spacing w:val="105"/>
        </w:rPr>
        <w:t>参考文</w:t>
      </w:r>
      <w:r>
        <w:rPr>
          <w:rFonts w:hint="eastAsia"/>
        </w:rPr>
        <w:t>献</w:t>
      </w:r>
      <w:bookmarkEnd w:id="89"/>
      <w:bookmarkEnd w:id="90"/>
    </w:p>
    <w:p w14:paraId="56E611FE">
      <w:pPr>
        <w:pStyle w:val="56"/>
        <w:ind w:firstLine="420"/>
      </w:pPr>
      <w:r>
        <w:rPr>
          <w:rFonts w:hint="eastAsia"/>
        </w:rPr>
        <w:t>[1] GB/T 34397  托盘共用系统管理规范</w:t>
      </w:r>
    </w:p>
    <w:p w14:paraId="534D305D">
      <w:pPr>
        <w:pStyle w:val="56"/>
        <w:ind w:firstLine="420"/>
      </w:pPr>
      <w:r>
        <w:rPr>
          <w:rFonts w:hint="eastAsia"/>
        </w:rPr>
        <w:t>[2] GB/T 40065  果蔬类周转箱循环共用管理规范</w:t>
      </w:r>
    </w:p>
    <w:p w14:paraId="3A8DEB26">
      <w:pPr>
        <w:pStyle w:val="56"/>
        <w:ind w:firstLine="420"/>
      </w:pPr>
      <w:r>
        <w:rPr>
          <w:rFonts w:hint="eastAsia"/>
        </w:rPr>
        <w:t>[3] SB/T 11153  托盘共用系统运营管理规范</w:t>
      </w:r>
    </w:p>
    <w:p w14:paraId="687EE3B4">
      <w:pPr>
        <w:pStyle w:val="56"/>
        <w:ind w:firstLine="0" w:firstLineChars="0"/>
        <w:jc w:val="center"/>
      </w:pPr>
      <w:bookmarkStart w:id="91" w:name="BookMark8"/>
      <w:r>
        <w:rPr>
          <w:rFonts w:hint="eastAsia"/>
        </w:rPr>
        <w:drawing>
          <wp:inline distT="0" distB="0" distL="0" distR="0">
            <wp:extent cx="1485900" cy="317500"/>
            <wp:effectExtent l="0" t="0" r="0" b="6350"/>
            <wp:docPr id="1582250907" name="图片 3"/>
            <wp:cNvGraphicFramePr/>
            <a:graphic xmlns:a="http://schemas.openxmlformats.org/drawingml/2006/main">
              <a:graphicData uri="http://schemas.openxmlformats.org/drawingml/2006/picture">
                <pic:pic xmlns:pic="http://schemas.openxmlformats.org/drawingml/2006/picture">
                  <pic:nvPicPr>
                    <pic:cNvPr id="1582250907"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bookmarkEnd w:id="91"/>
    </w:p>
    <w:p w14:paraId="4774A44B">
      <w:pPr>
        <w:pStyle w:val="56"/>
        <w:ind w:firstLine="0" w:firstLineChars="0"/>
        <w:jc w:val="center"/>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0100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E17F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7D6A3">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AE71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A8C03">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E913C">
    <w:pPr>
      <w:pStyle w:val="61"/>
    </w:pPr>
    <w:r>
      <w:fldChar w:fldCharType="begin"/>
    </w:r>
    <w:r>
      <w:instrText xml:space="preserve"> STYLEREF  标准文件_文件编号  \* MERGEFORMAT </w:instrText>
    </w:r>
    <w:r>
      <w:fldChar w:fldCharType="separate"/>
    </w:r>
    <w:r>
      <w:t>DB37/T 4769—2024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87FA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DB37/T 4769—2024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Full" w:cryptAlgorithmClass="hash" w:cryptAlgorithmType="typeAny" w:cryptAlgorithmSid="4" w:cryptSpinCount="100000" w:hash="4eXGSaoKR8tmWmg33keVwyhSoYg=" w:salt="k+DSM7jy2bFz2lf2VoNe/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TlhZWQzYmI4MTMyZjc5ZDBiNGFhZjQyMDE4ZTcifQ=="/>
  </w:docVars>
  <w:rsids>
    <w:rsidRoot w:val="009019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7AF"/>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DC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4A3"/>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7CD0"/>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A1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FC2"/>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624"/>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04"/>
    <w:rsid w:val="00773C1F"/>
    <w:rsid w:val="00774DA4"/>
    <w:rsid w:val="00776599"/>
    <w:rsid w:val="0077706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DA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E2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930"/>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51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BAD"/>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D0D"/>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CE3"/>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F85"/>
    <w:rsid w:val="00A57142"/>
    <w:rsid w:val="00A633A1"/>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7EE"/>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87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575A"/>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B28"/>
    <w:rsid w:val="00E53FC7"/>
    <w:rsid w:val="00E5408A"/>
    <w:rsid w:val="00E56800"/>
    <w:rsid w:val="00E60C63"/>
    <w:rsid w:val="00E60E1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D62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5FD95842">
          <w:pPr>
            <w:pStyle w:val="5"/>
          </w:pPr>
          <w:r>
            <w:rPr>
              <w:rStyle w:val="4"/>
              <w:rFonts w:hint="eastAsia"/>
            </w:rPr>
            <w:t>单击或点击此处输入文字。</w:t>
          </w:r>
        </w:p>
      </w:docPartBody>
    </w:docPart>
    <w:docPart>
      <w:docPartPr>
        <w:name w:val="2210F4A9D9514149AC47FA0AB2C24B49"/>
        <w:style w:val=""/>
        <w:category>
          <w:name w:val="常规"/>
          <w:gallery w:val="placeholder"/>
        </w:category>
        <w:types>
          <w:type w:val="bbPlcHdr"/>
        </w:types>
        <w:behaviors>
          <w:behavior w:val="content"/>
        </w:behaviors>
        <w:description w:val=""/>
        <w:guid w:val="{D2027BD7-8BA1-446D-B135-4E99C2180F1B}"/>
      </w:docPartPr>
      <w:docPartBody>
        <w:p w14:paraId="7612BB08">
          <w:pPr>
            <w:pStyle w:val="6"/>
          </w:pPr>
          <w:r>
            <w:rPr>
              <w:rStyle w:val="4"/>
              <w:rFonts w:hint="eastAsia"/>
            </w:rPr>
            <w:t>选择一项。</w:t>
          </w:r>
        </w:p>
      </w:docPartBody>
    </w:docPart>
    <w:docPart>
      <w:docPartPr>
        <w:name w:val="B6C04ECD658C4D36A0E55EFDD044BECF"/>
        <w:style w:val=""/>
        <w:category>
          <w:name w:val="常规"/>
          <w:gallery w:val="placeholder"/>
        </w:category>
        <w:types>
          <w:type w:val="bbPlcHdr"/>
        </w:types>
        <w:behaviors>
          <w:behavior w:val="content"/>
        </w:behaviors>
        <w:description w:val=""/>
        <w:guid w:val="{2E546DE0-DB33-424F-B8E4-D5B81816561E}"/>
      </w:docPartPr>
      <w:docPartBody>
        <w:p w14:paraId="14C2AC0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E6064"/>
    <w:rsid w:val="001925AF"/>
    <w:rsid w:val="001E442D"/>
    <w:rsid w:val="002964A9"/>
    <w:rsid w:val="003E5AE9"/>
    <w:rsid w:val="00504E6A"/>
    <w:rsid w:val="005C41D1"/>
    <w:rsid w:val="00772304"/>
    <w:rsid w:val="00A7514D"/>
    <w:rsid w:val="00A855A5"/>
    <w:rsid w:val="00B24745"/>
    <w:rsid w:val="00C85B96"/>
    <w:rsid w:val="00DF1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21382BEB6334716A3C4C81BC1FFB3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0634D4-29CB-47D5-9794-8962C66B25F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2689</Words>
  <Characters>3017</Characters>
  <Lines>37</Lines>
  <Paragraphs>10</Paragraphs>
  <TotalTime>44</TotalTime>
  <ScaleCrop>false</ScaleCrop>
  <LinksUpToDate>false</LinksUpToDate>
  <CharactersWithSpaces>3235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2021-03-29T03:30:00Z</dcterms:created>
  <dc:creator>李琰</dc:creator>
  <dc:description>&lt;config cover="true" show_menu="true" version="1.0.0" doctype="SDKXY"&gt;_x000d_
&lt;/config&gt;</dc:description>
  <cp:lastModifiedBy>LHT</cp:lastModifiedBy>
  <cp:lastPrinted>2020-08-30T10:00:00Z</cp:lastPrinted>
  <dcterms:modified xsi:type="dcterms:W3CDTF">2024-09-30T00:41:35Z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76140614F0514857822610F6AD8279A7_12</vt:lpwstr>
  </property>
</Properties>
</file>